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20" w:after="120"/>
      </w:pPr>
      <w:r>
        <w:rPr>
          <w:rFonts w:ascii="Calibri" w:hAnsi="Calibri"/>
          <w:b/>
          <w:color w:val="0F172A"/>
          <w:sz w:val="44"/>
        </w:rPr>
        <w:t>Kvann Health — Accelerator Master Application Q&amp;A Dossier</w:t>
      </w:r>
    </w:p>
    <w:p>
      <w:pPr>
        <w:spacing w:before="60" w:after="80"/>
      </w:pPr>
      <w:r/>
      <w:r>
        <w:rPr>
          <w:b/>
        </w:rPr>
        <w:t>Target Programs:</w:t>
      </w:r>
      <w:r>
        <w:t xml:space="preserve"> Cedars-Sinai Accelerator+, Mayo Clinic Platform Accelerator, Oregon Venture Fund (OVF), Y Combinator</w:t>
      </w:r>
    </w:p>
    <w:p>
      <w:pPr>
        <w:spacing w:before="60" w:after="80"/>
      </w:pPr>
      <w:r/>
      <w:r>
        <w:rPr>
          <w:b/>
        </w:rPr>
        <w:t>Entity:</w:t>
      </w:r>
      <w:r>
        <w:t xml:space="preserve"> KVAN Health LLC (Oregon) · </w:t>
      </w:r>
      <w:r>
        <w:rPr>
          <w:b/>
        </w:rPr>
        <w:t>Brand:</w:t>
      </w:r>
      <w:r>
        <w:t xml:space="preserve"> Kvann Health / Kvann Flow</w:t>
      </w:r>
    </w:p>
    <w:p>
      <w:pPr>
        <w:spacing w:before="60" w:after="80"/>
      </w:pPr>
      <w:r/>
      <w:r>
        <w:rPr>
          <w:b/>
        </w:rPr>
        <w:t>Primary Contact:</w:t>
      </w:r>
      <w:r>
        <w:t xml:space="preserve"> `alexey@kvanhealth.com` / `joe@kvanhealth.com`</w:t>
      </w:r>
    </w:p>
    <w:p>
      <w:pPr>
        <w:spacing w:before="60" w:after="80"/>
      </w:pPr>
      <w:r/>
      <w:r>
        <w:rPr>
          <w:b/>
        </w:rPr>
        <w:t>Date:</w:t>
      </w:r>
      <w:r>
        <w:t xml:space="preserve"> September 2026 · </w:t>
      </w:r>
      <w:r>
        <w:rPr>
          <w:b/>
        </w:rPr>
        <w:t>Version:</w:t>
      </w:r>
      <w:r>
        <w:t xml:space="preserve"> 1.0.0</w:t>
      </w:r>
    </w:p>
    <w:p>
      <w:pPr>
        <w:spacing w:before="200" w:after="60"/>
      </w:pPr>
      <w:r>
        <w:rPr>
          <w:rFonts w:ascii="Calibri" w:hAnsi="Calibri"/>
          <w:b/>
          <w:color w:val="0F172A"/>
          <w:sz w:val="24"/>
        </w:rPr>
        <w:t>Q1: What does your company do in 50 words or less? (Elevator Pitch)</w:t>
      </w:r>
    </w:p>
    <w:p>
      <w:pPr>
        <w:spacing w:before="60" w:after="80"/>
      </w:pPr>
      <w:r/>
      <w:r>
        <w:rPr>
          <w:b/>
        </w:rPr>
        <w:t>Answer (48 words):</w:t>
      </w:r>
      <w:r/>
    </w:p>
    <w:p>
      <w:pPr>
        <w:spacing w:before="60" w:after="80"/>
      </w:pPr>
      <w:r>
        <w:t>Kvann Health builds the first closed-loop Autonomous Ambulatory Operating System for US primary care. Our core engine, Kvann Flow, uses algorithmic schedule optimization (Gravity Stacking and Lunch Firewalls) to eliminate fragmented "Swiss cheese" appointment slots, reclaiming 8–15% lost capacity and ending clinician "pajama time" burnout without changing clinical documentation.</w:t>
      </w:r>
    </w:p>
    <w:p>
      <w:pPr>
        <w:spacing w:before="200" w:after="60"/>
      </w:pPr>
      <w:r>
        <w:rPr>
          <w:rFonts w:ascii="Calibri" w:hAnsi="Calibri"/>
          <w:b/>
          <w:color w:val="0F172A"/>
          <w:sz w:val="24"/>
        </w:rPr>
        <w:t>Q2: What is the specific problem you are solving? (Problem Statement — 150 words)</w:t>
      </w:r>
    </w:p>
    <w:p>
      <w:pPr>
        <w:spacing w:before="60" w:after="80"/>
      </w:pPr>
      <w:r/>
      <w:r>
        <w:rPr>
          <w:b/>
        </w:rPr>
        <w:t>Answer (138 words):</w:t>
      </w:r>
      <w:r/>
    </w:p>
    <w:p>
      <w:pPr>
        <w:spacing w:before="60" w:after="80"/>
      </w:pPr>
      <w:r>
        <w:t>US outpatient healthcare faces an acute operational crisis. 15% to 20% of clinical schedule capacity is permanently lost to fragmented, scattered 10-to-15-minute appointment gaps that cannot be booked. Concurrently, 49% of primary care physicians suffer from severe burnout, spending 1.5 to 2.5 unbuffered hours every evening finishing documentation ("pajama time"). When an overburdened physician resigns, replacing them costs the health system $500,000 to $1,000,000 in recruitment, lost billings, and onboarding expenses.</w:t>
      </w:r>
    </w:p>
    <w:p>
      <w:pPr>
        <w:spacing w:before="60" w:after="80"/>
      </w:pPr>
      <w:r>
        <w:t>Existing healthcare IT fails to solve this physics problem: passive patient check-in forms (Phreesia) only capture patient data; native EHR schedulers (Epic, Athenahealth) enforce static calendar grids; and ambient AI scribes (Nuance, Abridge) charge $400–$800/MD/month while ignoring calendar fragmentation. The primary care operational calendar remains mathematically unoptimized.</w:t>
      </w:r>
    </w:p>
    <w:p>
      <w:pPr>
        <w:spacing w:before="200" w:after="60"/>
      </w:pPr>
      <w:r>
        <w:rPr>
          <w:rFonts w:ascii="Calibri" w:hAnsi="Calibri"/>
          <w:b/>
          <w:color w:val="0F172A"/>
          <w:sz w:val="24"/>
        </w:rPr>
        <w:t>Q3: What is your solution, and how does it work? (Product Overview — 200 words)</w:t>
      </w:r>
    </w:p>
    <w:p>
      <w:pPr>
        <w:spacing w:before="60" w:after="80"/>
      </w:pPr>
      <w:r/>
      <w:r>
        <w:rPr>
          <w:b/>
        </w:rPr>
        <w:t>Answer (186 words):</w:t>
      </w:r>
      <w:r/>
    </w:p>
    <w:p>
      <w:pPr>
        <w:spacing w:before="60" w:after="80"/>
      </w:pPr>
      <w:r>
        <w:t>Kvann Health unifies three proprietary modules into a closed-loop Ambulatory Operating System:</w:t>
      </w:r>
    </w:p>
    <w:p>
      <w:pPr>
        <w:spacing w:before="60" w:after="80"/>
      </w:pPr>
      <w:r>
        <w:t xml:space="preserve">1. </w:t>
      </w:r>
      <w:r>
        <w:rPr>
          <w:b/>
        </w:rPr>
        <w:t>Pillar 1 (Access):</w:t>
      </w:r>
      <w:r>
        <w:t xml:space="preserve"> Conversational AI intake with deterministic clinical safety safeguards and multimodal lab extraction.</w:t>
      </w:r>
    </w:p>
    <w:p>
      <w:pPr>
        <w:spacing w:before="60" w:after="80"/>
      </w:pPr>
      <w:r>
        <w:t xml:space="preserve">2. </w:t>
      </w:r>
      <w:r>
        <w:rPr>
          <w:b/>
        </w:rPr>
        <w:t>Pillar 2 (Yield — Core Lead):</w:t>
      </w:r>
      <w:r>
        <w:t xml:space="preserve"> Kvann Flow, an algorithmic capacity engine that schedules visits using proprietary Gravity Stacking and clinician Lunch Firewalls on a discrete 15-minute integer grid.</w:t>
      </w:r>
    </w:p>
    <w:p>
      <w:pPr>
        <w:spacing w:before="60" w:after="80"/>
      </w:pPr>
      <w:r>
        <w:t xml:space="preserve">3. </w:t>
      </w:r>
      <w:r>
        <w:rPr>
          <w:b/>
        </w:rPr>
        <w:t>Pillar 3 (Audit):</w:t>
      </w:r>
      <w:r>
        <w:t xml:space="preserve"> Real-time E/M coding protection and clinical chart QA.</w:t>
      </w:r>
    </w:p>
    <w:p>
      <w:pPr>
        <w:spacing w:before="60" w:after="80"/>
      </w:pPr>
      <w:r>
        <w:t>We deploy via a modular "Trojan Horse" Go-to-Market strategy, entering health systems strictly through Pillar 2. Kvann Flow operates invisibly behind the scenes, packing open appointment slots downward to free contiguous overflow blocks while preserving protected clinician lunch and administrative buffers.</w:t>
      </w:r>
    </w:p>
    <w:p>
      <w:pPr>
        <w:spacing w:before="60" w:after="80"/>
      </w:pPr>
      <w:r>
        <w:t xml:space="preserve">Crucially, our enterprise trust anchor is the </w:t>
      </w:r>
      <w:r>
        <w:rPr>
          <w:b/>
        </w:rPr>
        <w:t>"Iron Rule"</w:t>
      </w:r>
      <w:r>
        <w:t>: automated EHR write-back is strictly restricted to the FHIR `Appointment` resource. Demographic records and clinical medical charts remain 100% untouched. If health system IT review queues are delayed, Kvann Flow operates immediately in a secure Read-Only Recommendation Mode via daily schedule exports, delivering measurable clinical yield on Day One.</w:t>
      </w:r>
    </w:p>
    <w:p>
      <w:pPr>
        <w:spacing w:before="200" w:after="60"/>
      </w:pPr>
      <w:r>
        <w:rPr>
          <w:rFonts w:ascii="Calibri" w:hAnsi="Calibri"/>
          <w:b/>
          <w:color w:val="0F172A"/>
          <w:sz w:val="24"/>
        </w:rPr>
        <w:t>Q4: What is your unfair advantage and defensibility moat? (Secret Sauce — 150 words)</w:t>
      </w:r>
    </w:p>
    <w:p>
      <w:pPr>
        <w:spacing w:before="60" w:after="80"/>
      </w:pPr>
      <w:r/>
      <w:r>
        <w:rPr>
          <w:b/>
        </w:rPr>
        <w:t>Answer (144 words):</w:t>
      </w:r>
      <w:r/>
    </w:p>
    <w:p>
      <w:pPr>
        <w:spacing w:before="60" w:after="80"/>
      </w:pPr>
      <w:r>
        <w:t>Our moat combines clinical leadership, mathematical precision, and extreme FinOps asymmetry:</w:t>
      </w:r>
    </w:p>
    <w:p>
      <w:pPr>
        <w:spacing w:before="60" w:after="80"/>
      </w:pPr>
      <w:r>
        <w:t xml:space="preserve">1. </w:t>
      </w:r>
      <w:r>
        <w:rPr>
          <w:b/>
        </w:rPr>
        <w:t>Clinical C-Suite Heritage:</w:t>
      </w:r>
      <w:r>
        <w:t xml:space="preserve"> Co-founded by Dr. Joseph Siemienczuk, MD, former CEO of Providence Health System in Oregon, giving us unparalleled credibility with health system CIOs and CMOs.</w:t>
      </w:r>
    </w:p>
    <w:p>
      <w:pPr>
        <w:spacing w:before="60" w:after="80"/>
      </w:pPr>
      <w:r>
        <w:t xml:space="preserve">2. </w:t>
      </w:r>
      <w:r>
        <w:rPr>
          <w:b/>
        </w:rPr>
        <w:t>The "Iron Rule" Security Boundary:</w:t>
      </w:r>
      <w:r>
        <w:t xml:space="preserve"> Bypasses months of hospital security resistance by never touching medical records or clinical documentation.</w:t>
      </w:r>
    </w:p>
    <w:p>
      <w:pPr>
        <w:spacing w:before="60" w:after="80"/>
      </w:pPr>
      <w:r>
        <w:t xml:space="preserve">3. </w:t>
      </w:r>
      <w:r>
        <w:rPr>
          <w:b/>
        </w:rPr>
        <w:t>FinOps Cost Asymmetry:</w:t>
      </w:r>
      <w:r>
        <w:t xml:space="preserve"> Our multi-agent DAG architecture operates at $\le \$0.01$ per encounter—compared to $\$0.05$ to $\$0.10+$ for legacy software—protecting an 85%+ gross margin at a disruptive price point of $149/MD/month.</w:t>
      </w:r>
    </w:p>
    <w:p>
      <w:pPr>
        <w:spacing w:before="60" w:after="80"/>
      </w:pPr>
      <w:r>
        <w:t xml:space="preserve">4. </w:t>
      </w:r>
      <w:r>
        <w:rPr>
          <w:b/>
        </w:rPr>
        <w:t>Data Network Effects:</w:t>
      </w:r>
      <w:r>
        <w:t xml:space="preserve"> Deep EHR schedule integration creates switching friction; once a clinic’s daily appointment flow and template density are optimized, returning to manual static grids causes immediate revenue and scheduling chaos.</w:t>
      </w:r>
    </w:p>
    <w:p>
      <w:pPr>
        <w:spacing w:before="200" w:after="60"/>
      </w:pPr>
      <w:r>
        <w:rPr>
          <w:rFonts w:ascii="Calibri" w:hAnsi="Calibri"/>
          <w:b/>
          <w:color w:val="0F172A"/>
          <w:sz w:val="24"/>
        </w:rPr>
        <w:t>Q5: What is your business model and pricing? (Commercial Model — 100 words)</w:t>
      </w:r>
    </w:p>
    <w:p>
      <w:pPr>
        <w:spacing w:before="60" w:after="80"/>
      </w:pPr>
      <w:r/>
      <w:r>
        <w:rPr>
          <w:b/>
        </w:rPr>
        <w:t>Answer (92 words):</w:t>
      </w:r>
      <w:r/>
    </w:p>
    <w:p>
      <w:pPr>
        <w:spacing w:before="60" w:after="80"/>
      </w:pPr>
      <w:r>
        <w:t>We operate a B2B SaaS model targeting independent medical groups, FQHCs, and ambulatory networks affiliated with ACOs.</w:t>
      </w:r>
    </w:p>
    <w:p>
      <w:pPr>
        <w:pStyle w:val="ListBullet"/>
        <w:spacing w:before="20" w:after="40"/>
      </w:pPr>
      <w:r/>
      <w:r>
        <w:rPr>
          <w:b/>
        </w:rPr>
        <w:t>Land:</w:t>
      </w:r>
      <w:r>
        <w:t xml:space="preserve"> Pillar 2 (Kvann Flow) at </w:t>
      </w:r>
      <w:r>
        <w:rPr>
          <w:b/>
        </w:rPr>
        <w:t>$149/MD/month</w:t>
      </w:r>
      <w:r>
        <w:t xml:space="preserve"> annual subscription.</w:t>
      </w:r>
    </w:p>
    <w:p>
      <w:pPr>
        <w:pStyle w:val="ListBullet"/>
        <w:spacing w:before="20" w:after="40"/>
      </w:pPr>
      <w:r/>
      <w:r>
        <w:rPr>
          <w:b/>
        </w:rPr>
        <w:t>Expand:</w:t>
      </w:r>
      <w:r>
        <w:t xml:space="preserve"> Upsell Pillar 1 (Intake) at </w:t>
      </w:r>
      <w:r>
        <w:rPr>
          <w:b/>
        </w:rPr>
        <w:t>+$100/MD/month</w:t>
      </w:r>
      <w:r>
        <w:t xml:space="preserve"> and Pillar 3 (Chart QA) at </w:t>
      </w:r>
      <w:r>
        <w:rPr>
          <w:b/>
        </w:rPr>
        <w:t>+$150/MD/month</w:t>
      </w:r>
      <w:r>
        <w:t xml:space="preserve"> (blended full-suite ACV of ~$499/MD/month).</w:t>
      </w:r>
    </w:p>
    <w:p>
      <w:pPr>
        <w:pStyle w:val="ListBullet"/>
        <w:spacing w:before="20" w:after="40"/>
      </w:pPr>
      <w:r/>
      <w:r>
        <w:rPr>
          <w:b/>
        </w:rPr>
        <w:t>Pilots:</w:t>
      </w:r>
      <w:r>
        <w:t xml:space="preserve"> Fixed-fee $3,500–$5,000 for 90 days (2–3 MDs), 100% credited toward the Year 1 annual contract upon clinic rollout, backed by a 30-day performance refund guarantee.</w:t>
      </w:r>
    </w:p>
    <w:p>
      <w:pPr>
        <w:spacing w:before="200" w:after="60"/>
      </w:pPr>
      <w:r>
        <w:rPr>
          <w:rFonts w:ascii="Calibri" w:hAnsi="Calibri"/>
          <w:b/>
          <w:color w:val="0F172A"/>
          <w:sz w:val="24"/>
        </w:rPr>
        <w:t>Q6: What is your current traction and commercial status? (Traction — 150 words)</w:t>
      </w:r>
    </w:p>
    <w:p>
      <w:pPr>
        <w:spacing w:before="60" w:after="80"/>
      </w:pPr>
      <w:r/>
      <w:r>
        <w:rPr>
          <w:b/>
        </w:rPr>
        <w:t>Answer (134 words):</w:t>
      </w:r>
      <w:r/>
    </w:p>
    <w:p>
      <w:pPr>
        <w:pStyle w:val="ListBullet"/>
        <w:spacing w:before="20" w:after="40"/>
      </w:pPr>
      <w:r/>
      <w:r>
        <w:rPr>
          <w:b/>
        </w:rPr>
        <w:t>Product Status:</w:t>
      </w:r>
      <w:r>
        <w:t xml:space="preserve"> Working production engine complete (FastAPI async core, PostgreSQL persistence, deterministic 115+ test verification suite, and interactive Tetris dashboard).</w:t>
      </w:r>
    </w:p>
    <w:p>
      <w:pPr>
        <w:pStyle w:val="ListBullet"/>
        <w:spacing w:before="20" w:after="40"/>
      </w:pPr>
      <w:r/>
      <w:r>
        <w:rPr>
          <w:b/>
        </w:rPr>
        <w:t>Active Pilot Pipeline:</w:t>
      </w:r>
      <w:r>
        <w:t xml:space="preserve"> Active 90-day assisted pilot proposal submitted to Central City Concern (CCC), a major Federally Qualified Health Center (FQHC) in Portland, Oregon, for volunteer providers at their Old Town Clinic.</w:t>
      </w:r>
    </w:p>
    <w:p>
      <w:pPr>
        <w:pStyle w:val="ListBullet"/>
        <w:spacing w:before="20" w:after="40"/>
      </w:pPr>
      <w:r/>
      <w:r>
        <w:rPr>
          <w:b/>
        </w:rPr>
        <w:t>Enterprise Pipeline:</w:t>
      </w:r>
      <w:r>
        <w:t xml:space="preserve"> In-person proposal and platform presentation scheduled for October 20, 2026, with a second regional healthcare provider organization.</w:t>
      </w:r>
    </w:p>
    <w:p>
      <w:pPr>
        <w:pStyle w:val="ListBullet"/>
        <w:spacing w:before="20" w:after="40"/>
      </w:pPr>
      <w:r/>
      <w:r>
        <w:rPr>
          <w:b/>
        </w:rPr>
        <w:t>Distribution Channels:</w:t>
      </w:r>
      <w:r>
        <w:t xml:space="preserve"> Formal onboarding initiated for the Athenahealth Marketplace (More Disruption Please program) and Epic Connection Hub registration.</w:t>
      </w:r>
    </w:p>
    <w:p>
      <w:pPr>
        <w:pStyle w:val="ListBullet"/>
        <w:spacing w:before="20" w:after="40"/>
      </w:pPr>
      <w:r/>
      <w:r>
        <w:rPr>
          <w:b/>
        </w:rPr>
        <w:t>Economic Proof:</w:t>
      </w:r>
      <w:r>
        <w:t xml:space="preserve"> Discrete-event simulation validated across synthetic primary care datasets (AOM and Tryon corpora), proving 8–15% capacity expansion and $149k–$178k net annual profit expansion per 5-physician practice.</w:t>
      </w:r>
    </w:p>
    <w:p>
      <w:pPr>
        <w:spacing w:before="200" w:after="60"/>
      </w:pPr>
      <w:r>
        <w:rPr>
          <w:rFonts w:ascii="Calibri" w:hAnsi="Calibri"/>
          <w:b/>
          <w:color w:val="0F172A"/>
          <w:sz w:val="24"/>
        </w:rPr>
        <w:t>Q7: Why are you applying to this specific accelerator, and what will you achieve? (Program Fit — 150 words)</w:t>
      </w:r>
    </w:p>
    <w:p>
      <w:pPr>
        <w:spacing w:before="60" w:after="80"/>
      </w:pPr>
      <w:r/>
      <w:r>
        <w:rPr>
          <w:b/>
        </w:rPr>
        <w:t>Answer (Tailored for Cedars-Sinai / Mayo / OVF — 142 words):</w:t>
      </w:r>
      <w:r/>
    </w:p>
    <w:p>
      <w:pPr>
        <w:spacing w:before="60" w:after="80"/>
      </w:pPr>
      <w:r>
        <w:t>We are applying to accelerate our clinical pilot deployments and formalize hospital-grade EHR partnerships. Specifically, we seek:</w:t>
      </w:r>
    </w:p>
    <w:p>
      <w:pPr>
        <w:spacing w:before="60" w:after="80"/>
      </w:pPr>
      <w:r>
        <w:t xml:space="preserve">1. </w:t>
      </w:r>
      <w:r>
        <w:rPr>
          <w:b/>
        </w:rPr>
        <w:t>Clinical Pilot Matchmaking:</w:t>
      </w:r>
      <w:r>
        <w:t xml:space="preserve"> Validating Kvann Flow within enterprise clinical facilities (such as Cedars-Sinai primary care clinics or Mayo Clinic Health System networks) to build publishable case studies.</w:t>
      </w:r>
    </w:p>
    <w:p>
      <w:pPr>
        <w:spacing w:before="60" w:after="80"/>
      </w:pPr>
      <w:r>
        <w:t xml:space="preserve">2. </w:t>
      </w:r>
      <w:r>
        <w:rPr>
          <w:b/>
        </w:rPr>
        <w:t>AI Data Lake Access (Mayo Platform):</w:t>
      </w:r>
      <w:r>
        <w:t xml:space="preserve"> Leveraging privacy-preserved, longitudinal patient datasets to benchmark and train our AI Urgency and Triage Engine against historical clinical acuity outcomes.</w:t>
      </w:r>
    </w:p>
    <w:p>
      <w:pPr>
        <w:spacing w:before="60" w:after="80"/>
      </w:pPr>
      <w:r>
        <w:t xml:space="preserve">3. </w:t>
      </w:r>
      <w:r>
        <w:rPr>
          <w:b/>
        </w:rPr>
        <w:t>EHR Integration Fast-Tracking:</w:t>
      </w:r>
      <w:r>
        <w:t xml:space="preserve"> Working alongside health system IT leadership to advance our ONC FHIR R4 and Epic Cadence integration into enterprise-wide production deployment.</w:t>
      </w:r>
    </w:p>
    <w:p>
      <w:pPr>
        <w:spacing w:before="60" w:after="80"/>
      </w:pPr>
      <w:r>
        <w:t xml:space="preserve">4. </w:t>
      </w:r>
      <w:r>
        <w:rPr>
          <w:b/>
        </w:rPr>
        <w:t>Capital Allocation:</w:t>
      </w:r>
      <w:r>
        <w:t xml:space="preserve"> Deploying the accelerator’s pre-seed investment to fund dedicated healthcare QA and interface engineering hires, ensuring seamless compliance across prospective health system pilots.</w:t>
      </w:r>
    </w:p>
    <w:p>
      <w:pPr>
        <w:spacing w:before="200" w:after="60"/>
      </w:pPr>
      <w:r>
        <w:rPr>
          <w:rFonts w:ascii="Calibri" w:hAnsi="Calibri"/>
          <w:b/>
          <w:color w:val="0F172A"/>
          <w:sz w:val="24"/>
        </w:rPr>
        <w:t>Q8: Who is on your founding team, and why are you the right people? (Team — 150 words)</w:t>
      </w:r>
    </w:p>
    <w:p>
      <w:pPr>
        <w:spacing w:before="60" w:after="80"/>
      </w:pPr>
      <w:r/>
      <w:r>
        <w:rPr>
          <w:b/>
        </w:rPr>
        <w:t>Answer (138 words):</w:t>
      </w:r>
      <w:r/>
    </w:p>
    <w:p>
      <w:pPr>
        <w:spacing w:before="60" w:after="80"/>
      </w:pPr>
      <w:r>
        <w:t>Our team blends executive healthcare delivery with systems engineering and commercial scaling:</w:t>
      </w:r>
    </w:p>
    <w:p>
      <w:pPr>
        <w:pStyle w:val="ListBullet"/>
        <w:spacing w:before="20" w:after="40"/>
      </w:pPr>
      <w:r/>
      <w:r>
        <w:rPr>
          <w:b/>
        </w:rPr>
        <w:t>Dr. Joseph Siemienczuk, MD (Chief Medical Officer &amp; Co-Founder):</w:t>
      </w:r>
      <w:r>
        <w:t xml:space="preserve"> Former CEO of Providence Medical Group in Oregon, leading 700+ physicians. Trained at Cedars-Sinai and former CMO at Enli Health Intelligence. 30+ years in medical staff governance and clinical operations.</w:t>
      </w:r>
    </w:p>
    <w:p>
      <w:pPr>
        <w:pStyle w:val="ListBullet"/>
        <w:spacing w:before="20" w:after="40"/>
      </w:pPr>
      <w:r/>
      <w:r>
        <w:rPr>
          <w:b/>
        </w:rPr>
        <w:t>Jaime J. Saavedra (VP Commercial Partnerships &amp; Growth &amp; Co-Founder):</w:t>
      </w:r>
      <w:r>
        <w:t xml:space="preserve"> Principal of CrossSphere Consulting. 35+ years global Health IT sales leadership (Intel, IBM, early executive at Kryptiq and Enli Health Intelligence).</w:t>
      </w:r>
    </w:p>
    <w:p>
      <w:pPr>
        <w:pStyle w:val="ListBullet"/>
        <w:spacing w:before="20" w:after="40"/>
      </w:pPr>
      <w:r/>
      <w:r>
        <w:rPr>
          <w:b/>
        </w:rPr>
        <w:t>Alexey Soshnin (Chief Technology Officer &amp; Co-Founder):</w:t>
      </w:r>
      <w:r>
        <w:t xml:space="preserve"> Systems architect and AI engineer with 20+ years of enterprise software experience. Head of Medixspace B.V., builder of clinical evaluation engines and distributed simulation platforms.</w:t>
      </w:r>
    </w:p>
    <w:p>
      <w:pPr>
        <w:spacing w:before="60" w:after="80"/>
      </w:pPr>
      <w:r>
        <w:t>Together, we combine the institutional access to close health system contracts with the technical firepower to build, verify, and maintain clinical-grade software.</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