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20" w:after="120"/>
      </w:pPr>
      <w:r>
        <w:rPr>
          <w:rFonts w:ascii="Calibri" w:hAnsi="Calibri"/>
          <w:b/>
          <w:color w:val="0F172A"/>
          <w:sz w:val="44"/>
        </w:rPr>
        <w:t>KVANN HEALTH — Executive Tear Sheet &amp; Overview</w:t>
      </w:r>
    </w:p>
    <w:p>
      <w:pPr>
        <w:spacing w:before="60" w:after="80"/>
      </w:pPr>
      <w:r/>
      <w:r>
        <w:rPr>
          <w:b/>
        </w:rPr>
        <w:t>Entity:</w:t>
      </w:r>
      <w:r>
        <w:t xml:space="preserve"> KVAN Health LLC (Oregon, USA) · </w:t>
      </w:r>
      <w:r>
        <w:rPr>
          <w:b/>
        </w:rPr>
        <w:t>Product:</w:t>
      </w:r>
      <w:r>
        <w:t xml:space="preserve"> Kvann Flow™</w:t>
      </w:r>
    </w:p>
    <w:p>
      <w:pPr>
        <w:spacing w:before="60" w:after="80"/>
      </w:pPr>
      <w:r/>
      <w:r>
        <w:rPr>
          <w:b/>
        </w:rPr>
        <w:t>Leadership:</w:t>
      </w:r>
      <w:r>
        <w:t xml:space="preserve"> Dr. Joseph Siemienczuk, MD (CMO, former CEO Providence Medical Group) · Jaime J. Saavedra (VP Commercial) · Alexey Soshnin (CTO)</w:t>
      </w:r>
    </w:p>
    <w:p>
      <w:pPr>
        <w:spacing w:before="60" w:after="80"/>
      </w:pPr>
      <w:r/>
      <w:r>
        <w:rPr>
          <w:b/>
        </w:rPr>
        <w:t>Contact:</w:t>
      </w:r>
      <w:r>
        <w:t xml:space="preserve"> `joe@kvanhealth.com` · `jaime@kvanhealth.com` · `alexey@kvanhealth.com` · </w:t>
      </w:r>
      <w:r>
        <w:rPr>
          <w:b/>
        </w:rPr>
        <w:t>Web:</w:t>
      </w:r>
      <w:r>
        <w:t xml:space="preserve"> `kvanhealth.com`</w:t>
      </w:r>
    </w:p>
    <w:p>
      <w:pPr>
        <w:spacing w:before="200" w:after="60"/>
      </w:pPr>
      <w:r>
        <w:rPr>
          <w:rFonts w:ascii="Calibri" w:hAnsi="Calibri"/>
          <w:b/>
          <w:color w:val="0F172A"/>
          <w:sz w:val="24"/>
        </w:rPr>
        <w:t>The Problem: The Primary Care Capacity &amp; Burnout Crisis</w:t>
      </w:r>
    </w:p>
    <w:p>
      <w:pPr>
        <w:spacing w:before="60" w:after="80"/>
      </w:pPr>
      <w:r>
        <w:t xml:space="preserve">Across US ambulatory practices, </w:t>
      </w:r>
      <w:r>
        <w:rPr>
          <w:b/>
        </w:rPr>
        <w:t>15% to 20% of clinical schedule capacity is lost</w:t>
      </w:r>
      <w:r>
        <w:t xml:space="preserve"> to fragmented, unusable 10–15 minute appointment gaps ("Swiss cheese" schedules). Simultaneously, </w:t>
      </w:r>
      <w:r>
        <w:rPr>
          <w:b/>
        </w:rPr>
        <w:t>49% of primary care physicians suffer from severe burnout</w:t>
      </w:r>
      <w:r>
        <w:t xml:space="preserve">, spending 1.5–2.5 hours every evening completing unbuffered documentation ("pajama time"). Replacing a single departing physician costs health systems </w:t>
      </w:r>
      <w:r>
        <w:rPr>
          <w:b/>
        </w:rPr>
        <w:t>$500,000 to $1,000,000</w:t>
      </w:r>
      <w:r>
        <w:t>.</w:t>
      </w:r>
    </w:p>
    <w:p>
      <w:pPr>
        <w:spacing w:before="200" w:after="60"/>
      </w:pPr>
      <w:r>
        <w:rPr>
          <w:rFonts w:ascii="Calibri" w:hAnsi="Calibri"/>
          <w:b/>
          <w:color w:val="0F172A"/>
          <w:sz w:val="24"/>
        </w:rPr>
        <w:t>The Solution: Kvann Flow™ Algorithmic Schedule Optimizer</w:t>
      </w:r>
    </w:p>
    <w:p>
      <w:pPr>
        <w:spacing w:before="60" w:after="80"/>
      </w:pPr>
      <w:r>
        <w:t xml:space="preserve">Kvann Flow is the core capacity engine of the </w:t>
      </w:r>
      <w:r>
        <w:rPr>
          <w:b/>
        </w:rPr>
        <w:t>Autonomous Ambulatory Operating System</w:t>
      </w:r>
      <w:r>
        <w:t>. It operates invisibly alongside existing Electronic Health Records (Epic, Athenahealth) to pack appointments into contiguous blocks, eliminate orphaned time gaps, and protect clinician recovery.</w:t>
      </w:r>
    </w:p>
    <w:p>
      <w:pPr>
        <w:spacing w:before="60" w:after="80"/>
      </w:pPr>
      <w:r>
        <w:t>```</w:t>
      </w:r>
    </w:p>
    <w:p>
      <w:pPr>
        <w:spacing w:before="60" w:after="80"/>
      </w:pPr>
      <w:r>
        <w:t>┌────────────────────────────────────────────────────────────────────────────────────────┐</w:t>
      </w:r>
    </w:p>
    <w:p>
      <w:pPr>
        <w:spacing w:before="60" w:after="80"/>
      </w:pPr>
      <w:r>
        <w:t>│                               THE THREE-PILLAR PLATFORM                                │</w:t>
      </w:r>
    </w:p>
    <w:p>
      <w:pPr>
        <w:spacing w:before="60" w:after="80"/>
      </w:pPr>
      <w:r>
        <w:t>├──────────────────────────────┬──────────────────────────────┬──────────────────────────┤</w:t>
      </w:r>
    </w:p>
    <w:p>
      <w:pPr>
        <w:spacing w:before="60" w:after="80"/>
      </w:pPr>
      <w:r>
        <w:t>│      PILLAR 1: ACCESS        │       PILLAR 2: YIELD        │     PILLAR 3: AUDIT      │</w:t>
      </w:r>
    </w:p>
    <w:p>
      <w:pPr>
        <w:spacing w:before="60" w:after="80"/>
      </w:pPr>
      <w:r>
        <w:t>│  Intelligent Patient Intake  │      Kvann Flow Engine       │   Chart QA &amp; RCM Guard   │</w:t>
      </w:r>
    </w:p>
    <w:p>
      <w:pPr>
        <w:spacing w:before="60" w:after="80"/>
      </w:pPr>
      <w:r>
        <w:t>│  • Conversational AI triage  │  • Gravity Stacking slots    │  • Real-time E/M audit   │</w:t>
      </w:r>
    </w:p>
    <w:p>
      <w:pPr>
        <w:spacing w:before="60" w:after="80"/>
      </w:pPr>
      <w:r>
        <w:t>│  • Clinical safety safeguards│  • Clinician Lunch Firewall  │  • 99213 → 99214 capture │</w:t>
      </w:r>
    </w:p>
    <w:p>
      <w:pPr>
        <w:spacing w:before="60" w:after="80"/>
      </w:pPr>
      <w:r>
        <w:t>│  • Multimodal lab extraction │  • Appointment optimization  │  • Denial interception   │</w:t>
      </w:r>
    </w:p>
    <w:p>
      <w:pPr>
        <w:spacing w:before="60" w:after="80"/>
      </w:pPr>
      <w:r>
        <w:t>│       (Upsell: +$100/mo)     │     (CORE LEAD: $149/mo)     │    (Upsell: +$150/mo)    │</w:t>
      </w:r>
    </w:p>
    <w:p>
      <w:pPr>
        <w:spacing w:before="60" w:after="80"/>
      </w:pPr>
      <w:r>
        <w:t>└──────────────────────────────┴──────────────────────────────┴──────────────────────────┘</w:t>
      </w:r>
    </w:p>
    <w:p>
      <w:pPr>
        <w:spacing w:before="60" w:after="80"/>
      </w:pPr>
      <w:r>
        <w:t>```</w:t>
      </w:r>
    </w:p>
    <w:p>
      <w:pPr>
        <w:spacing w:before="200" w:after="60"/>
      </w:pPr>
      <w:r>
        <w:rPr>
          <w:rFonts w:ascii="Calibri" w:hAnsi="Calibri"/>
          <w:b/>
          <w:color w:val="0F172A"/>
          <w:sz w:val="24"/>
        </w:rPr>
        <w:t>The Core Technology: Gravity Stacking &amp; The Iron Rule</w:t>
      </w:r>
    </w:p>
    <w:p>
      <w:pPr>
        <w:pStyle w:val="ListBullet"/>
        <w:spacing w:before="20" w:after="40"/>
      </w:pPr>
      <w:r/>
      <w:r>
        <w:rPr>
          <w:b/>
        </w:rPr>
        <w:t>Gravity Stacking Algorithm:</w:t>
      </w:r>
      <w:r>
        <w:t xml:space="preserve"> Operates on a discrete 15-minute integer grid, automatically pulling appointments downward toward the start of sessions to unlock contiguous bookable overflow blocks.</w:t>
      </w:r>
    </w:p>
    <w:p>
      <w:pPr>
        <w:pStyle w:val="ListBullet"/>
        <w:spacing w:before="20" w:after="40"/>
      </w:pPr>
      <w:r/>
      <w:r>
        <w:rPr>
          <w:b/>
        </w:rPr>
        <w:t>Lunch &amp; Buffer Firewall:</w:t>
      </w:r>
      <w:r>
        <w:t xml:space="preserve"> Enforces hard-coded buffer boundaries around clinician administrative and rest time, eliminating mid-day overruns and ending evening pajama time.</w:t>
      </w:r>
    </w:p>
    <w:p>
      <w:pPr>
        <w:pStyle w:val="ListBullet"/>
        <w:spacing w:before="20" w:after="40"/>
      </w:pPr>
      <w:r/>
      <w:r>
        <w:rPr>
          <w:b/>
        </w:rPr>
        <w:t>The "Iron Rule" Trust Anchor:</w:t>
      </w:r>
      <w:r>
        <w:t xml:space="preserve"> Automated EHR write-back is </w:t>
      </w:r>
      <w:r>
        <w:rPr>
          <w:b/>
        </w:rPr>
        <w:t>strictly restricted to the FHIR `Appointment` resource</w:t>
      </w:r>
      <w:r>
        <w:t>. Patient medical records, charts, and billing codes remain 100% read-only.</w:t>
      </w:r>
    </w:p>
    <w:p>
      <w:pPr>
        <w:pStyle w:val="ListBullet"/>
        <w:spacing w:before="20" w:after="40"/>
      </w:pPr>
      <w:r/>
      <w:r>
        <w:rPr>
          <w:b/>
        </w:rPr>
        <w:t>Dual Operating Modes:</w:t>
      </w:r>
      <w:r>
        <w:t xml:space="preserve"> Direct Epic Cadence API integration or rapid-deploy </w:t>
      </w:r>
      <w:r>
        <w:rPr>
          <w:b/>
        </w:rPr>
        <w:t>Read-Only Recommendation Mode</w:t>
      </w:r>
      <w:r>
        <w:t xml:space="preserve"> via secure daily schedule report exports (delivering Day-1 value even during IT review queues).</w:t>
      </w:r>
    </w:p>
    <w:p>
      <w:pPr>
        <w:spacing w:before="200" w:after="60"/>
      </w:pPr>
      <w:r>
        <w:rPr>
          <w:rFonts w:ascii="Calibri" w:hAnsi="Calibri"/>
          <w:b/>
          <w:color w:val="0F172A"/>
          <w:sz w:val="24"/>
        </w:rPr>
        <w:t>Practice-Level Financial &amp; Operational ROI (5-MD Clinic Model)</w:t>
      </w:r>
    </w:p>
    <w:p>
      <w:pPr>
        <w:pStyle w:val="ListBullet"/>
        <w:spacing w:before="20" w:after="40"/>
      </w:pPr>
      <w:r/>
      <w:r>
        <w:rPr>
          <w:b/>
        </w:rPr>
        <w:t>Capacity Reclaimed:</w:t>
      </w:r>
      <w:r>
        <w:t xml:space="preserve"> </w:t>
      </w:r>
      <w:r>
        <w:rPr>
          <w:b/>
        </w:rPr>
        <w:t>+8% to +15% net schedule density</w:t>
      </w:r>
      <w:r>
        <w:t xml:space="preserve"> (2.4 additional completed visits per provider/day).</w:t>
      </w:r>
    </w:p>
    <w:p>
      <w:pPr>
        <w:pStyle w:val="ListBullet"/>
        <w:spacing w:before="20" w:after="40"/>
      </w:pPr>
      <w:r/>
      <w:r>
        <w:rPr>
          <w:b/>
        </w:rPr>
        <w:t>Financial Return:</w:t>
      </w:r>
      <w:r>
        <w:t xml:space="preserve"> </w:t>
      </w:r>
      <w:r>
        <w:rPr>
          <w:b/>
        </w:rPr>
        <w:t>$149,000 – $178,200 net profit expansion</w:t>
      </w:r>
      <w:r>
        <w:t xml:space="preserve"> per 5-physician practice annually.</w:t>
      </w:r>
    </w:p>
    <w:p>
      <w:pPr>
        <w:pStyle w:val="ListBullet"/>
        <w:spacing w:before="20" w:after="40"/>
      </w:pPr>
      <w:r/>
      <w:r>
        <w:rPr>
          <w:b/>
        </w:rPr>
        <w:t>ROI Ratio:</w:t>
      </w:r>
      <w:r>
        <w:t xml:space="preserve"> </w:t>
      </w:r>
      <w:r>
        <w:rPr>
          <w:b/>
        </w:rPr>
        <w:t>42.5x net ROI</w:t>
      </w:r>
      <w:r>
        <w:t xml:space="preserve"> against an annual software cost of ~$3,500/clinic.</w:t>
      </w:r>
    </w:p>
    <w:p>
      <w:pPr>
        <w:pStyle w:val="ListBullet"/>
        <w:spacing w:before="20" w:after="40"/>
      </w:pPr>
      <w:r/>
      <w:r>
        <w:rPr>
          <w:b/>
        </w:rPr>
        <w:t>FinOps Asymmetry:</w:t>
      </w:r>
      <w:r>
        <w:t xml:space="preserve"> $\le \mathbf{\$0.01}$ cost per encounter via multi-agent routing ($&gt;85\%$ gross margin).</w:t>
      </w:r>
    </w:p>
    <w:p>
      <w:pPr>
        <w:spacing w:before="200" w:after="60"/>
      </w:pPr>
      <w:r>
        <w:rPr>
          <w:rFonts w:ascii="Calibri" w:hAnsi="Calibri"/>
          <w:b/>
          <w:color w:val="0F172A"/>
          <w:sz w:val="24"/>
        </w:rPr>
        <w:t>Commercial Traction &amp; Milestones</w:t>
      </w:r>
    </w:p>
    <w:p>
      <w:pPr>
        <w:pStyle w:val="ListBullet"/>
        <w:spacing w:before="20" w:after="40"/>
      </w:pPr>
      <w:r/>
      <w:r>
        <w:rPr>
          <w:b/>
        </w:rPr>
        <w:t>Active Pilot:</w:t>
      </w:r>
      <w:r>
        <w:t xml:space="preserve"> Paid 90-day assisted pilot proposal submitted to </w:t>
      </w:r>
      <w:r>
        <w:rPr>
          <w:b/>
        </w:rPr>
        <w:t>Central City Concern (CCC)</w:t>
      </w:r>
      <w:r>
        <w:t xml:space="preserve"> in Portland, OR (Old Town Clinic; $3.5k–$5k fee with 100% annual credit and 30-day satisfaction guarantee).</w:t>
      </w:r>
    </w:p>
    <w:p>
      <w:pPr>
        <w:pStyle w:val="ListBullet"/>
        <w:spacing w:before="20" w:after="40"/>
      </w:pPr>
      <w:r/>
      <w:r>
        <w:rPr>
          <w:b/>
        </w:rPr>
        <w:t>Enterprise Pipeline:</w:t>
      </w:r>
      <w:r>
        <w:t xml:space="preserve"> In-person proposal presentation scheduled for </w:t>
      </w:r>
      <w:r>
        <w:rPr>
          <w:b/>
        </w:rPr>
        <w:t>October 20, 2026</w:t>
      </w:r>
      <w:r>
        <w:t>, with a second regional healthcare provider organization.</w:t>
      </w:r>
    </w:p>
    <w:p>
      <w:pPr>
        <w:pStyle w:val="ListBullet"/>
        <w:spacing w:before="20" w:after="40"/>
      </w:pPr>
      <w:r/>
      <w:r>
        <w:rPr>
          <w:b/>
        </w:rPr>
        <w:t>Marketplace Distribution:</w:t>
      </w:r>
      <w:r>
        <w:t xml:space="preserve"> Active registration in Athenahealth Marketplace (MDP) &amp; Epic Connection Hub.</w:t>
      </w:r>
    </w:p>
    <w:p>
      <w:pPr>
        <w:pStyle w:val="ListBullet"/>
        <w:spacing w:before="20" w:after="40"/>
      </w:pPr>
      <w:r/>
      <w:r>
        <w:rPr>
          <w:b/>
        </w:rPr>
        <w:t>Target Capital:</w:t>
      </w:r>
      <w:r>
        <w:t xml:space="preserve"> Seeking </w:t>
      </w:r>
      <w:r>
        <w:rPr>
          <w:b/>
        </w:rPr>
        <w:t>$100k–$250k Pre-Seed Investment</w:t>
      </w:r>
      <w:r>
        <w:t xml:space="preserve"> (Cedars-Sinai Accelerator+, Oregon Venture Fund, Mayo Clinic Platform Accelerator) to fund dedicated QA/fullstack EHR certification engineering.</w:t>
      </w:r>
    </w:p>
    <w:sectPr w:rsidR="00FC693F" w:rsidRPr="0006063C" w:rsidSect="00034616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E293B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