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120"/>
      </w:pPr>
      <w:r>
        <w:rPr>
          <w:rFonts w:ascii="Calibri" w:hAnsi="Calibri"/>
          <w:b/>
          <w:color w:val="0F172A"/>
          <w:sz w:val="44"/>
        </w:rPr>
        <w:t>KVAN Health — Zoom Decision Brief</w:t>
      </w:r>
    </w:p>
    <w:p>
      <w:pPr>
        <w:spacing w:before="60" w:after="80"/>
      </w:pPr>
      <w:r/>
      <w:r>
        <w:rPr>
          <w:b/>
        </w:rPr>
        <w:t>Call:</w:t>
      </w:r>
      <w:r>
        <w:t xml:space="preserve"> Mon 2026-09-14, 17:30 PT (45 min) · Dr. Joseph Siemienczuk, MD · Jaime Saavedra · Alexey</w:t>
      </w:r>
    </w:p>
    <w:p>
      <w:pPr>
        <w:spacing w:before="60" w:after="80"/>
      </w:pPr>
      <w:r/>
      <w:r>
        <w:rPr>
          <w:b/>
        </w:rPr>
        <w:t>Purpose:</w:t>
      </w:r>
      <w:r>
        <w:t xml:space="preserve"> Lock 5 decisions that unblock the CCC pilot proposal, web presence, and accelerator motion this week.</w:t>
      </w:r>
    </w:p>
    <w:p>
      <w:pPr>
        <w:spacing w:before="60" w:after="80"/>
      </w:pPr>
      <w:r/>
      <w:r>
        <w:rPr>
          <w:b/>
        </w:rPr>
        <w:t>Rule for the call:</w:t>
      </w:r>
      <w:r>
        <w:t xml:space="preserve"> every agenda item ends with a named owner + date. No "we'll circle back."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Wins &amp; Context (5 min — credibility baseline)</w:t>
      </w:r>
    </w:p>
    <w:p>
      <w:pPr>
        <w:pStyle w:val="ListBullet"/>
        <w:spacing w:before="20" w:after="40"/>
      </w:pPr>
      <w:r>
        <w:t>Repo migration complete (VWOOSH structure, independently audited and signed off).</w:t>
      </w:r>
    </w:p>
    <w:p>
      <w:pPr>
        <w:pStyle w:val="ListBullet"/>
        <w:spacing w:before="20" w:after="40"/>
      </w:pPr>
      <w:r>
        <w:t>Long-term strategic roadmap + tactical roadmap drafted and cross-reviewed by both AI teams.</w:t>
      </w:r>
    </w:p>
    <w:p>
      <w:pPr>
        <w:pStyle w:val="ListBullet"/>
        <w:spacing w:before="20" w:after="40"/>
      </w:pPr>
      <w:r/>
      <w:r>
        <w:rPr>
          <w:b/>
        </w:rPr>
        <w:t>Strategic Platform Architecture:</w:t>
      </w:r>
      <w:r>
        <w:t xml:space="preserve"> Defined the 3-Pillar Autonomous Ambulatory OS (</w:t>
      </w:r>
      <w:r>
        <w:rPr>
          <w:b/>
        </w:rPr>
        <w:t>Pillar 1: Access/Intake $\rightarrow$ Pillar 2: Yield/Kvann Flow $\rightarrow$ Pillar 3: Audit/Chart QA</w:t>
      </w:r>
      <w:r>
        <w:t>) scaling across 3 Horizons ($2.2M $\rightarrow$ $15M $\rightarrow$ $54M ARR). Lead with Pillar 2 as the low-friction "Trojan Horse".</w:t>
      </w:r>
    </w:p>
    <w:p>
      <w:pPr>
        <w:pStyle w:val="ListBullet"/>
        <w:spacing w:before="20" w:after="40"/>
      </w:pPr>
      <w:r/>
      <w:r>
        <w:rPr>
          <w:b/>
        </w:rPr>
        <w:t>Tactical Execution Engine:</w:t>
      </w:r>
      <w:r>
        <w:t xml:space="preserve"> Established the 5 parallel tracks in `2026-09-14_KVANN_FLOW_TACTICAL_ROADMAP.md` (Track A: CCC Pilot, Track B: Engineering, Track C: Accelerators, Track D: Web/Corporate, Track E: Oct 20 Prospect).</w:t>
      </w:r>
    </w:p>
    <w:p>
      <w:pPr>
        <w:pStyle w:val="ListBullet"/>
        <w:spacing w:before="20" w:after="40"/>
      </w:pPr>
      <w:r/>
      <w:r>
        <w:rPr>
          <w:b/>
        </w:rPr>
        <w:t>CCC Pilot Proposal &amp; SoW already drafted</w:t>
      </w:r>
      <w:r>
        <w:t xml:space="preserve"> (2–3 pp, consultant-grade, grounded on CCC research: Dr. Mendenhall, Old Town Clinic, OCHIN change-control reality) — waiting only on pricing lock and entity status from this call.</w:t>
      </w:r>
    </w:p>
    <w:p>
      <w:pPr>
        <w:pStyle w:val="ListBullet"/>
        <w:spacing w:before="20" w:after="40"/>
      </w:pPr>
      <w:r>
        <w:t>Landing page v0.1 being staged today (Alexey + OpenClaw via Lovable.dev) — domain is the only blocker to go-live.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The 5 Decisions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Decision 1 — CCC Pilot Pricing (10 min) · Owner: ALL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Proposed (roadmap consensus)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Ask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Pilot fee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**$3,500–$5,000 flat**, 90 days, 2–3 volunteer MDs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Lock the exact number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Year-1 credit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100% of pilot fee credited on clinic-wide rollout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Confirm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Post-pilot anchor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$149/MD/month, annual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Confirm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Satisfaction clause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30-day full refund if &lt;5% density gain vs. locked 30-day historical baseline, or provider veto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Confirm</w:t>
            </w:r>
          </w:p>
        </w:tc>
      </w:tr>
    </w:tbl>
    <w:p>
      <w:pPr>
        <w:spacing w:before="0" w:after="120"/>
      </w:pP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Decision 2 — OCHIN Discovery (10 min) · Owner: JOE</w:t>
      </w:r>
    </w:p>
    <w:p>
      <w:pPr>
        <w:pStyle w:val="ListBullet"/>
        <w:spacing w:before="20" w:after="40"/>
      </w:pPr>
      <w:r/>
      <w:r>
        <w:rPr>
          <w:b/>
        </w:rPr>
        <w:t>Joe asks CCC within 48h:</w:t>
      </w:r>
      <w:r>
        <w:t xml:space="preserve"> "Is your Epic hosted via OCHIN, and who is your OCHIN Technical Coordinator / change-control liaison?"</w:t>
      </w:r>
    </w:p>
    <w:p>
      <w:pPr>
        <w:pStyle w:val="ListBullet"/>
        <w:spacing w:before="20" w:after="40"/>
      </w:pPr>
      <w:r>
        <w:t>We assume OCHIN-hosted until told otherwise; proposal already engineered for both outcomes (Epic-integrated primary mode + read-only CSV contingency tier if OCHIN change-control &gt;6 weeks).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Decision 3 — Proposal Review &amp; Send Chain (5 min) · Owner: ALL</w:t>
      </w:r>
    </w:p>
    <w:p>
      <w:pPr>
        <w:pStyle w:val="ListBullet"/>
        <w:spacing w:before="20" w:after="40"/>
      </w:pPr>
      <w:r>
        <w:t xml:space="preserve">Draft: </w:t>
      </w:r>
      <w:r>
        <w:rPr>
          <w:b/>
        </w:rPr>
        <w:t>DONE today</w:t>
      </w:r>
      <w:r>
        <w:t xml:space="preserve"> (Alexey, agent-assisted). → Jaime + Joe review Tue–Wed → polish Thu → </w:t>
      </w:r>
      <w:r>
        <w:rPr>
          <w:b/>
        </w:rPr>
        <w:t>in CCC's hands by Fri end of week.</w:t>
      </w:r>
      <w:r/>
    </w:p>
    <w:p>
      <w:pPr>
        <w:pStyle w:val="ListBullet"/>
        <w:spacing w:before="20" w:after="40"/>
      </w:pPr>
      <w:r>
        <w:t>Confirm: who sends (Joe, from his CCC relationship) and to whom (Dr. Mendenhall / David Chen, per cover email).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Decision 4 — Domains, Email &amp; Entity Status (8 min) · Owner: JOE / JAIME</w:t>
      </w:r>
    </w:p>
    <w:p>
      <w:pPr>
        <w:pStyle w:val="ListBullet"/>
        <w:spacing w:before="20" w:after="40"/>
      </w:pPr>
      <w:r>
        <w:t xml:space="preserve">(a) </w:t>
      </w:r>
      <w:r>
        <w:rPr>
          <w:b/>
        </w:rPr>
        <w:t>Is KVAN Health LLC registered with Oregon SOS?</w:t>
      </w:r>
      <w:r>
        <w:t xml:space="preserve"> (Determines proposal letterhead + site footer: `KVAN Health LLC` vs. `KVAN Health`.)</w:t>
      </w:r>
    </w:p>
    <w:p>
      <w:pPr>
        <w:pStyle w:val="ListBullet"/>
        <w:spacing w:before="20" w:after="40"/>
      </w:pPr>
      <w:r>
        <w:t xml:space="preserve">(b) </w:t>
      </w:r>
      <w:r>
        <w:rPr>
          <w:b/>
        </w:rPr>
        <w:t>Were domains/emails registered per the Aug-22 spec?</w:t>
      </w:r>
      <w:r/>
    </w:p>
    <w:p>
      <w:pPr>
        <w:pStyle w:val="ListBullet"/>
        <w:spacing w:before="20" w:after="40"/>
      </w:pPr>
      <w:r>
        <w:t xml:space="preserve">(c) If not: </w:t>
      </w:r>
      <w:r>
        <w:rPr>
          <w:b/>
        </w:rPr>
        <w:t>Joe registers both `kvanhealth.com` + `kvannhealth.com` tonight on Cloudflare Registrar, ~$21, paid personally, expensed to LLC post-formation.</w:t>
      </w:r>
      <w:r>
        <w:t xml:space="preserve"> Alexey gets Cloudflare admin invite (zero shared credentials), deploys site + email aliases (`info@ / joe@ / jaime@ / alexey@kvanhealth.com`) + SPF/DMARC/DNSSEC within 24h.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Decision 5 — Accelerator Phasing (5 min) · Owner: JOE accepts OVF action</w:t>
      </w:r>
    </w:p>
    <w:p>
      <w:pPr>
        <w:pStyle w:val="ListBullet"/>
        <w:spacing w:before="20" w:after="40"/>
      </w:pPr>
      <w:r/>
      <w:r>
        <w:rPr>
          <w:b/>
        </w:rPr>
        <w:t>Week 2:</w:t>
      </w:r>
      <w:r>
        <w:t xml:space="preserve"> Oregon Venture Fund via Joe's Providence network (deck + exec summary; no website needed).</w:t>
      </w:r>
    </w:p>
    <w:p>
      <w:pPr>
        <w:pStyle w:val="ListBullet"/>
        <w:spacing w:before="20" w:after="40"/>
      </w:pPr>
      <w:r/>
      <w:r>
        <w:rPr>
          <w:b/>
        </w:rPr>
        <w:t>Weeks 3–4 (after site live):</w:t>
      </w:r>
      <w:r>
        <w:t xml:space="preserve"> Cedars-Sinai, Mayo Clinic Platform, Microsoft for Startups Founders Hub (up to $150k Azure, non-dilutive; needs EIN + live site + LinkedIn).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Close (2 min)</w:t>
      </w:r>
    </w:p>
    <w:p>
      <w:pPr>
        <w:pStyle w:val="ListBullet"/>
        <w:spacing w:before="20" w:after="40"/>
      </w:pPr>
      <w:r>
        <w:t xml:space="preserve">Book 30-min follow-up </w:t>
      </w:r>
      <w:r>
        <w:rPr>
          <w:b/>
        </w:rPr>
        <w:t>Friday</w:t>
      </w:r>
      <w:r>
        <w:t xml:space="preserve"> to greenlight the proposal send. Calendar invite before hanging up.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Strategic Foundation: The 3 Pillars &amp; 36-Month Horizons</w:t>
      </w:r>
    </w:p>
    <w:p>
      <w:pPr>
        <w:spacing w:before="60" w:after="80"/>
      </w:pPr>
      <w:r>
        <w:t>*Reference Document:* `V:\kvann_health\kvann_workspace\KVANN_HEALTH_LONGTERM_ROADMAP.md`</w:t>
      </w:r>
    </w:p>
    <w:p>
      <w:pPr>
        <w:spacing w:before="60" w:after="80"/>
      </w:pPr>
      <w:r>
        <w:t xml:space="preserve">1. </w:t>
      </w:r>
      <w:r>
        <w:rPr>
          <w:b/>
        </w:rPr>
        <w:t>Pillar 1 — Access (Intake Gateway):</w:t>
      </w:r>
      <w:r>
        <w:t xml:space="preserve"> Conversational AI triage with deterministic clinical safety safeguards &amp; lab extraction.</w:t>
      </w:r>
    </w:p>
    <w:p>
      <w:pPr>
        <w:spacing w:before="60" w:after="80"/>
      </w:pPr>
      <w:r>
        <w:t xml:space="preserve">2. </w:t>
      </w:r>
      <w:r>
        <w:rPr>
          <w:b/>
        </w:rPr>
        <w:t>Pillar 2 — Yield (Kvann Flow Capacity Engine — CURRENT LEAD):</w:t>
      </w:r>
      <w:r>
        <w:t xml:space="preserve"> Algorithmic schedule compaction (Gravity Stacking) &amp; Lunch Firewalls. $149/MD/mo entry.</w:t>
      </w:r>
    </w:p>
    <w:p>
      <w:pPr>
        <w:spacing w:before="60" w:after="80"/>
      </w:pPr>
      <w:r>
        <w:t xml:space="preserve">3. </w:t>
      </w:r>
      <w:r>
        <w:rPr>
          <w:b/>
        </w:rPr>
        <w:t>Pillar 3 — Audit (Chart QA &amp; RCM Guard):</w:t>
      </w:r>
      <w:r>
        <w:t xml:space="preserve"> Real-time E/M coding protection (99213 $\rightarrow$ 99214) &amp; payer denial interception.</w:t>
      </w:r>
    </w:p>
    <w:p>
      <w:pPr>
        <w:pStyle w:val="ListBullet"/>
        <w:spacing w:before="20" w:after="40"/>
      </w:pPr>
      <w:r/>
      <w:r>
        <w:rPr>
          <w:b/>
        </w:rPr>
        <w:t>Scale Staircase:</w:t>
      </w:r>
      <w:r>
        <w:t xml:space="preserve"> Horizon 1 (Months 1–12): 250 clinics, </w:t>
      </w:r>
      <w:r>
        <w:rPr>
          <w:b/>
        </w:rPr>
        <w:t>$2.2M ARR</w:t>
      </w:r>
      <w:r>
        <w:t xml:space="preserve"> $\rightarrow$ Horizon 2 (Months 13–24): 1,000 clinics, </w:t>
      </w:r>
      <w:r>
        <w:rPr>
          <w:b/>
        </w:rPr>
        <w:t>$15.0M ARR</w:t>
      </w:r>
      <w:r>
        <w:t xml:space="preserve"> $\rightarrow$ Horizon 3 (Months 25–36): 3,000 clinics, </w:t>
      </w:r>
      <w:r>
        <w:rPr>
          <w:b/>
        </w:rPr>
        <w:t>$54.0M ARR</w:t>
      </w:r>
      <w:r>
        <w:t>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Tactical Roadmap &amp; Next Week's Tentative Execution Tasks (Week 2)</w:t>
      </w:r>
    </w:p>
    <w:p>
      <w:pPr>
        <w:spacing w:before="60" w:after="80"/>
      </w:pPr>
      <w:r>
        <w:t>*Reference Document:* `V:\kvann_health\kvann_flow\_DEVELOPMENT\00_ADMIN\00.04_Roadmap_and_Budget\2026-09-14_KVANN_FLOW_TACTICAL_ROADMAP.md`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Track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Next Week's Key Tasks (Week 2 Execution)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**Track A: CCC Pilot**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Joe / Jaime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Send finalized SOW to Dr. Mendenhall &amp; David Chen by Friday; engage CCC CIO to initiate OCHIN change-control process.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**Track B: Engineering**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Alexey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Implement Epic mock client `src/ehr/mock_client.py`; verify route-wide API key auth; begin Epic JWKS endpoint implementation.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**Track C: Accelerators**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Joe / Alexey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Submit **Oregon Venture Fund (OVF)** application via Joe's Providence network; finalize 10-slide deck for Cedars-Sinai &amp; Mayo.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**Track D: Web &amp; Brand**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Jaime / Alexey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Verify Cloudflare DNS propagation for `kvanhealth.com` + `kvannhealth.com`; activate company email routing; publish v0.1 live site.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**Track E: Oct 20 Prospect**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Jaime / Joe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Review October 20 presentation playbook and customize the 90-day pilot proposal template for the second provider organization.</w:t>
            </w:r>
          </w:p>
        </w:tc>
      </w:tr>
    </w:tbl>
    <w:p>
      <w:pPr>
        <w:spacing w:before="0" w:after="120"/>
      </w:pP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Rehearsed Answers to the 3 Hard Questions</w:t>
      </w:r>
    </w:p>
    <w:p>
      <w:pPr>
        <w:spacing w:before="60" w:after="80"/>
      </w:pPr>
      <w:r>
        <w:t xml:space="preserve">1. </w:t>
      </w:r>
      <w:r>
        <w:rPr>
          <w:b/>
        </w:rPr>
        <w:t>"Why should CCC pay for a pilot no clinic has used?"</w:t>
      </w:r>
      <w:r>
        <w:t xml:space="preserve"> → Fee is 100% credited, refundable in 30 days, bounded to 2–3 volunteer MDs. CCC's max exposure is $5k and zero clinical risk — staff-facing only.</w:t>
      </w:r>
    </w:p>
    <w:p>
      <w:pPr>
        <w:spacing w:before="60" w:after="80"/>
      </w:pPr>
      <w:r>
        <w:t xml:space="preserve">2. </w:t>
      </w:r>
      <w:r>
        <w:rPr>
          <w:b/>
        </w:rPr>
        <w:t>"Is the Epic integration done?"</w:t>
      </w:r>
      <w:r>
        <w:t xml:space="preserve"> → Integration path is engineered and sandbox-tested to Epic's specs; OCHIN change-control is a client-side process we support and initiate in parallel. If it stalls &gt;6 weeks, read-only recommendation mode delivers value from Day 1 via schedule exports.</w:t>
      </w:r>
    </w:p>
    <w:p>
      <w:pPr>
        <w:spacing w:before="60" w:after="80"/>
      </w:pPr>
      <w:r>
        <w:t xml:space="preserve">3. </w:t>
      </w:r>
      <w:r>
        <w:rPr>
          <w:b/>
        </w:rPr>
        <w:t>"Why isn't the website live?"</w:t>
      </w:r>
      <w:r>
        <w:t xml:space="preserve"> → It's built — the domain purchase we're deciding right now is the only blocker.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Not on This Call</w:t>
      </w:r>
    </w:p>
    <w:p>
      <w:pPr>
        <w:spacing w:before="60" w:after="80"/>
      </w:pPr>
      <w:r>
        <w:t>Epic engineering detail (JWKS sprint is Weeks 2–3) · accelerator application drafting · hiring (gated on signed MoU/BAA or $100k+ SAFE) · anything re-opening decisions already logged in the Tactical Roadmap v1.2.0 §8.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