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20"/>
      </w:pPr>
      <w:r>
        <w:rPr>
          <w:rFonts w:ascii="Calibri" w:hAnsi="Calibri"/>
          <w:b/>
          <w:color w:val="0F172A"/>
          <w:sz w:val="44"/>
        </w:rPr>
        <w:t>Kvann Health — October 20 Prospect Presentation Kit</w:t>
      </w:r>
    </w:p>
    <w:p>
      <w:pPr>
        <w:spacing w:before="60" w:after="80"/>
      </w:pPr>
      <w:r/>
      <w:r>
        <w:rPr>
          <w:b/>
        </w:rPr>
        <w:t>Target Event:</w:t>
      </w:r>
      <w:r>
        <w:t xml:space="preserve"> In-Person Executive Proposal &amp; Platform Presentation (Tuesday, October 20, 2026)</w:t>
      </w:r>
    </w:p>
    <w:p>
      <w:pPr>
        <w:spacing w:before="60" w:after="80"/>
      </w:pPr>
      <w:r/>
      <w:r>
        <w:rPr>
          <w:b/>
        </w:rPr>
        <w:t>Presenters:</w:t>
      </w:r>
      <w:r>
        <w:t xml:space="preserve"> Dr. Joseph Siemienczuk, MD (CMO) &amp; Jaime J. Saavedra (VP Commercial Partnerships)</w:t>
      </w:r>
    </w:p>
    <w:p>
      <w:pPr>
        <w:spacing w:before="60" w:after="80"/>
      </w:pPr>
      <w:r/>
      <w:r>
        <w:rPr>
          <w:b/>
        </w:rPr>
        <w:t>Audience:</w:t>
      </w:r>
      <w:r>
        <w:t xml:space="preserve"> Chief Medical Officer, Chief Operating Officer, and Practice Leadership of Prospective Provider Organization</w:t>
      </w:r>
    </w:p>
    <w:p>
      <w:pPr>
        <w:spacing w:before="60" w:after="80"/>
      </w:pPr>
      <w:r/>
      <w:r>
        <w:rPr>
          <w:b/>
        </w:rPr>
        <w:t>Product:</w:t>
      </w:r>
      <w:r>
        <w:t xml:space="preserve"> Kvann Flow™ Capacity &amp; Schedule Optimization Engine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1. Executive Meeting Objectives</w:t>
      </w:r>
    </w:p>
    <w:p>
      <w:pPr>
        <w:spacing w:before="60" w:after="80"/>
      </w:pPr>
      <w:r>
        <w:t xml:space="preserve">1. </w:t>
      </w:r>
      <w:r>
        <w:rPr>
          <w:b/>
        </w:rPr>
        <w:t>Demonstrate Measurable ROI:</w:t>
      </w:r>
      <w:r>
        <w:t xml:space="preserve"> Show how Kvann Flow reclaims 8–15% capacity ($149k–$178k net annual profit expansion for an average 5-MD primary care clinic) without adding clinical documentation.</w:t>
      </w:r>
    </w:p>
    <w:p>
      <w:pPr>
        <w:spacing w:before="60" w:after="80"/>
      </w:pPr>
      <w:r>
        <w:t xml:space="preserve">2. </w:t>
      </w:r>
      <w:r>
        <w:rPr>
          <w:b/>
        </w:rPr>
        <w:t>Eliminate IT &amp; Security Anxiety:</w:t>
      </w:r>
      <w:r>
        <w:t xml:space="preserve"> Present the "Iron Rule" (write-back restricted strictly to Appointments) and the Dual Operating Modes (including Read-Only Recommendation Mode that bypasses IT delay).</w:t>
      </w:r>
    </w:p>
    <w:p>
      <w:pPr>
        <w:spacing w:before="60" w:after="80"/>
      </w:pPr>
      <w:r>
        <w:t xml:space="preserve">3. </w:t>
      </w:r>
      <w:r>
        <w:rPr>
          <w:b/>
        </w:rPr>
        <w:t>Offer the Low-Risk Pilot Proposal:</w:t>
      </w:r>
      <w:r>
        <w:t xml:space="preserve"> Present a customized 90-day assisted pilot offer ($3.5k–$5k flat, 100% credited against Year 1, 30-day satisfaction guarantee).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2. Master Asset Inventory (Already Prepared &amp; Available)</w:t>
      </w:r>
    </w:p>
    <w:p>
      <w:pPr>
        <w:spacing w:before="60" w:after="80"/>
      </w:pPr>
      <w:r>
        <w:t>All assets for the presentation are ready and cataloged across the workspace: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Asset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File Location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Purpose &amp; Usage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**1. 10-Slide Pitch Deck**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`V:\kvann_health\kvann_workspace\pitch_decks\2026-09-14_KVANN_HEALTH_PITCH_DECK.md`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The core visual presentation for the meeting (10 high-contrast, data-driven slides).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**2. Executive Tear Sheet (1-Pager)**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`V:\kvann_health\kvann_workspace\accelerators\KVANN_HEALTH_EXECUTIVE_TEAR_SHEET.md`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Physical printout leave-behind for CMO/COO/CFO with ROI table and architecture diagram.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**3. Live Interactive Hero Flow Demo**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`V:\kvann_health\kvann_flow\_DEVELOPMENT\80_DELIVERABLES\80.03_Demo_Guides\hero_flow_demo.html`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Self-contained offline HTML interactive demo of Gravity Stacking and Tetris schedule grid (runs in any browser without internet).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**4. Live Demo Walkthrough Script**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`V:\kvann_health\kvann_flow\_DEVELOPMENT\80_DELIVERABLES\80.03_Demo_Guides\RAVISANT_DEMO_GUIDE_COMPLETE.md`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Minute-by-minute narrative guide for walking executives through the Tetris dashboard and schedule comparisons.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**5. Customizable Pilot Proposal &amp; SoW**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`V:\kvann_health\kvann_workspace\proposals\2026-09-14_CCC_PILOT_PROPOSAL_DRAFT.md`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Modular SoW template ready to be adapted with the prospect's name, clinic sites, and provider counts.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**6. Practice ROI Model**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`V:\kvann_health\kvann_workspace\KVANN_HEALTH_STRATEGIC_VISION_MCKINSEY.md` (§6)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Deep-dive financial analysis for the CFO showing revenue lift, provider turnover savings, and reimbursement assumptions.</w:t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3. Recommended Meeting Flow (45–60 Minutes)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Phase 1: The Access &amp; Burnout Hook (10 mins — Dr. Joseph Siemienczuk, MD)</w:t>
      </w:r>
    </w:p>
    <w:p>
      <w:pPr>
        <w:pStyle w:val="ListBullet"/>
        <w:spacing w:before="20" w:after="40"/>
      </w:pPr>
      <w:r>
        <w:t>Lead with clinical authority: Joe's experience as former CEO of Providence Health Oregon.</w:t>
      </w:r>
    </w:p>
    <w:p>
      <w:pPr>
        <w:pStyle w:val="ListBullet"/>
        <w:spacing w:before="20" w:after="40"/>
      </w:pPr>
      <w:r>
        <w:t>Reframe the problem: *"You don't have a physician shortage; you have a schedule physics problem."*</w:t>
      </w:r>
    </w:p>
    <w:p>
      <w:pPr>
        <w:pStyle w:val="ListBullet"/>
        <w:spacing w:before="20" w:after="40"/>
      </w:pPr>
      <w:r>
        <w:t>Introduce the pain: 15–20% Swiss cheese loss and evening pajama time burnout (Slide 2).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Phase 2: The Solution &amp; Interactive Demo (15 mins — Joe &amp; Jaime)</w:t>
      </w:r>
    </w:p>
    <w:p>
      <w:pPr>
        <w:pStyle w:val="ListBullet"/>
        <w:spacing w:before="20" w:after="40"/>
      </w:pPr>
      <w:r>
        <w:t>Walk through Slide 4 (Gravity Stacking and the Lunch Firewall).</w:t>
      </w:r>
    </w:p>
    <w:p>
      <w:pPr>
        <w:pStyle w:val="ListBullet"/>
        <w:spacing w:before="20" w:after="40"/>
      </w:pPr>
      <w:r>
        <w:t>Open `hero_flow_demo.html` on a laptop screen:</w:t>
      </w:r>
    </w:p>
    <w:p>
      <w:pPr>
        <w:pStyle w:val="ListBullet"/>
        <w:spacing w:before="20" w:after="40"/>
      </w:pPr>
      <w:r>
        <w:t>Show a fragmented clinic schedule (unusable 10-min gaps, provider running 45 mins late).</w:t>
      </w:r>
    </w:p>
    <w:p>
      <w:pPr>
        <w:pStyle w:val="ListBullet"/>
        <w:spacing w:before="20" w:after="40"/>
      </w:pPr>
      <w:r>
        <w:t xml:space="preserve">Toggle </w:t>
      </w:r>
      <w:r>
        <w:rPr>
          <w:b/>
        </w:rPr>
        <w:t>Kvann Flow Optimization</w:t>
      </w:r>
      <w:r>
        <w:t>: watch the slots compact downwards, freeing a 60-minute contiguous block at the end of the morning while preserving a protected lunch break.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Phase 3: Financial &amp; Governance Validation (15 mins — Jaime)</w:t>
      </w:r>
    </w:p>
    <w:p>
      <w:pPr>
        <w:pStyle w:val="ListBullet"/>
        <w:spacing w:before="20" w:after="40"/>
      </w:pPr>
      <w:r>
        <w:t>Review the Practice ROI Grid (Slide 5): show how adding 2.4 completed visits per provider/day yields $150k+ net profit per clinic.</w:t>
      </w:r>
    </w:p>
    <w:p>
      <w:pPr>
        <w:pStyle w:val="ListBullet"/>
        <w:spacing w:before="20" w:after="40"/>
      </w:pPr>
      <w:r>
        <w:t>Emphasize the "Iron Rule" (Slide 6): *"We never touch your clinical notes or medical records. Our write-back boundary is sealed strictly to appointments."*</w:t>
      </w:r>
    </w:p>
    <w:p>
      <w:pPr>
        <w:pStyle w:val="ListBullet"/>
        <w:spacing w:before="20" w:after="40"/>
      </w:pPr>
      <w:r>
        <w:t xml:space="preserve">Address IT timelines: Explain that if their EHR queue is backed up, our </w:t>
      </w:r>
      <w:r>
        <w:rPr>
          <w:b/>
        </w:rPr>
        <w:t>Read-Only Recommendation Tier</w:t>
      </w:r>
      <w:r>
        <w:t xml:space="preserve"> starts delivering value on Day One via daily CSV report exports.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Phase 4: The Pilot Offer &amp; Close (10 mins — Joe &amp; Jaime)</w:t>
      </w:r>
    </w:p>
    <w:p>
      <w:pPr>
        <w:pStyle w:val="ListBullet"/>
        <w:spacing w:before="20" w:after="40"/>
      </w:pPr>
      <w:r>
        <w:t>Present the 90-day assisted pilot package:</w:t>
      </w:r>
    </w:p>
    <w:p>
      <w:pPr>
        <w:pStyle w:val="ListBullet"/>
        <w:spacing w:before="20" w:after="40"/>
      </w:pPr>
      <w:r>
        <w:t>Bounded to 2–3 volunteer providers at one clinic site.</w:t>
      </w:r>
    </w:p>
    <w:p>
      <w:pPr>
        <w:pStyle w:val="ListBullet"/>
        <w:spacing w:before="20" w:after="40"/>
      </w:pPr>
      <w:r>
        <w:t>Fixed fee ($3,500 – $5,000 flat) covering all onboarding and support.</w:t>
      </w:r>
    </w:p>
    <w:p>
      <w:pPr>
        <w:pStyle w:val="ListBullet"/>
        <w:spacing w:before="20" w:after="40"/>
      </w:pPr>
      <w:r>
        <w:t>100% credited against their Year 1 subscription ($149/MD/mo).</w:t>
      </w:r>
    </w:p>
    <w:p>
      <w:pPr>
        <w:pStyle w:val="ListBullet"/>
        <w:spacing w:before="20" w:after="40"/>
      </w:pPr>
      <w:r>
        <w:t>30-day satisfaction clause: full refund if completed schedule density does not improve by $\ge 5\%$.</w:t>
      </w:r>
    </w:p>
    <w:p>
      <w:pPr>
        <w:pStyle w:val="ListBullet"/>
        <w:spacing w:before="20" w:after="40"/>
      </w:pPr>
      <w:r>
        <w:t xml:space="preserve">Leave behind the </w:t>
      </w:r>
      <w:r>
        <w:rPr>
          <w:b/>
        </w:rPr>
        <w:t>Executive Tear Sheet</w:t>
      </w:r>
      <w:r>
        <w:t xml:space="preserve"> and schedule a 2-week follow-up call.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