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120"/>
      </w:pPr>
      <w:r>
        <w:rPr>
          <w:rFonts w:ascii="Calibri" w:hAnsi="Calibri"/>
          <w:b/>
          <w:color w:val="0F172A"/>
          <w:sz w:val="44"/>
        </w:rPr>
        <w:t>KVANN Health — Clinical Pilot Resource &amp; Hours Utilization Estimate</w:t>
      </w:r>
    </w:p>
    <w:p>
      <w:pPr>
        <w:spacing w:before="60" w:after="80"/>
      </w:pPr>
      <w:r>
        <w:rPr>
          <w:b/>
          <w:color w:val="1E293B"/>
          <w:sz w:val="21"/>
        </w:rPr>
        <w:t>Prepared for:</w:t>
      </w:r>
      <w:r>
        <w:rPr>
          <w:color w:val="1E293B"/>
          <w:sz w:val="21"/>
        </w:rPr>
        <w:t xml:space="preserve"> Dr. Andy Mendenhall, MD (Chief Executive Officer) &amp; Executive Leadership</w:t>
      </w:r>
    </w:p>
    <w:p>
      <w:pPr>
        <w:spacing w:before="60" w:after="80"/>
      </w:pPr>
      <w:r>
        <w:rPr>
          <w:b/>
          <w:color w:val="1E293B"/>
          <w:sz w:val="21"/>
        </w:rPr>
        <w:t>Client Organization:</w:t>
      </w:r>
      <w:r>
        <w:rPr>
          <w:color w:val="1E293B"/>
          <w:sz w:val="21"/>
        </w:rPr>
        <w:t xml:space="preserve"> Central City Concern (Portland, Oregon)</w:t>
      </w:r>
    </w:p>
    <w:p>
      <w:pPr>
        <w:spacing w:before="60" w:after="80"/>
      </w:pPr>
      <w:r>
        <w:rPr>
          <w:b/>
          <w:color w:val="1E293B"/>
          <w:sz w:val="21"/>
        </w:rPr>
        <w:t>Prepared by:</w:t>
      </w:r>
      <w:r>
        <w:rPr>
          <w:color w:val="1E293B"/>
          <w:sz w:val="21"/>
        </w:rPr>
        <w:t xml:space="preserve"> KVANN HEALTH LLC (Oregon, USA)</w:t>
      </w:r>
    </w:p>
    <w:p>
      <w:pPr>
        <w:spacing w:before="60" w:after="80"/>
      </w:pPr>
      <w:r>
        <w:rPr>
          <w:b/>
          <w:color w:val="1E293B"/>
          <w:sz w:val="21"/>
        </w:rPr>
        <w:t>Date:</w:t>
      </w:r>
      <w:r>
        <w:rPr>
          <w:color w:val="1E293B"/>
          <w:sz w:val="21"/>
        </w:rPr>
        <w:t xml:space="preserve"> September 16, 2026 (v1.2 Executive High-Fidelity) · </w:t>
      </w:r>
      <w:r>
        <w:rPr>
          <w:b/>
          <w:color w:val="1E293B"/>
          <w:sz w:val="21"/>
        </w:rPr>
        <w:t>Validity:</w:t>
      </w:r>
      <w:r>
        <w:rPr>
          <w:color w:val="1E293B"/>
          <w:sz w:val="21"/>
        </w:rPr>
        <w:t xml:space="preserve"> 60 Days</w:t>
      </w:r>
    </w:p>
    <w:p>
      <w:pPr>
        <w:spacing w:before="60" w:after="80"/>
      </w:pPr>
      <w:r>
        <w:rPr>
          <w:b/>
          <w:color w:val="1E293B"/>
          <w:sz w:val="21"/>
        </w:rPr>
        <w:t>Key Contacts:</w:t>
      </w:r>
      <w:r>
        <w:rPr>
          <w:color w:val="1E293B"/>
          <w:sz w:val="21"/>
        </w:rPr>
        <w:t xml:space="preserve"> Dr. Joseph Siemienczuk, MD (CEO &amp; CMO) · Jaime J. Saavedra (VP Commercial) · Alexey Soshnin (CTO)</w:t>
      </w:r>
    </w:p>
    <w:p>
      <w:pPr>
        <w:spacing w:before="60" w:after="80"/>
      </w:pPr>
      <w:r>
        <w:rPr>
          <w:b/>
          <w:color w:val="1E293B"/>
          <w:sz w:val="21"/>
        </w:rPr>
        <w:t>Focus Facility:</w:t>
      </w:r>
      <w:r>
        <w:rPr>
          <w:color w:val="1E293B"/>
          <w:sz w:val="21"/>
        </w:rPr>
        <w:t xml:space="preserve"> Old Town Clinic (Portland, OR) · </w:t>
      </w:r>
      <w:r>
        <w:rPr>
          <w:b/>
          <w:color w:val="1E293B"/>
          <w:sz w:val="21"/>
        </w:rPr>
        <w:t>Cohort:</w:t>
      </w:r>
      <w:r>
        <w:rPr>
          <w:color w:val="1E293B"/>
          <w:sz w:val="21"/>
        </w:rPr>
        <w:t xml:space="preserve"> 2–3 Volunteer Primary Care Providers</w:t>
      </w:r>
    </w:p>
    <w:p>
      <w:pPr>
        <w:spacing w:before="280" w:after="80"/>
      </w:pPr>
      <w:r>
        <w:rPr>
          <w:rFonts w:ascii="Calibri" w:hAnsi="Calibri"/>
          <w:b/>
          <w:color w:val="0D9488"/>
          <w:sz w:val="30"/>
        </w:rPr>
        <w:t>1. Executive Summary &amp; Core Resource Metrics</w:t>
      </w:r>
    </w:p>
    <w:p>
      <w:pPr>
        <w:spacing w:before="60" w:after="80"/>
      </w:pPr>
      <w:r>
        <w:rPr>
          <w:color w:val="1E293B"/>
          <w:sz w:val="21"/>
        </w:rPr>
        <w:t xml:space="preserve">KVANN Health LLC has engineered </w:t>
      </w:r>
      <w:r>
        <w:rPr>
          <w:b/>
          <w:color w:val="1E293B"/>
          <w:sz w:val="21"/>
        </w:rPr>
        <w:t>Kvann Flow™</w:t>
      </w:r>
      <w:r>
        <w:rPr>
          <w:color w:val="1E293B"/>
          <w:sz w:val="21"/>
        </w:rPr>
        <w:t>, an ambulatory schedule compaction and clinician rest protection engine designed specifically for high-acuity outpatient primary care and Community Health Centers.</w:t>
      </w:r>
    </w:p>
    <w:p>
      <w:pPr>
        <w:spacing w:before="60" w:after="80"/>
      </w:pPr>
      <w:r>
        <w:rPr>
          <w:color w:val="1E293B"/>
          <w:sz w:val="21"/>
        </w:rPr>
        <w:t xml:space="preserve">This document provides Central City Concern executive leadership, clinical directors, and IT leadership with an audit-ready, transparent breakdown of technical effort and personnel commitment required to execute our </w:t>
      </w:r>
      <w:r>
        <w:rPr>
          <w:b/>
          <w:color w:val="1E293B"/>
          <w:sz w:val="21"/>
        </w:rPr>
        <w:t>90-Day Assisted Clinical Pilot</w:t>
      </w:r>
      <w:r>
        <w:rPr>
          <w:color w:val="1E293B"/>
          <w:sz w:val="21"/>
        </w:rPr>
        <w:t>.</w:t>
      </w:r>
    </w:p>
    <w:p>
      <w:pPr>
        <w:spacing w:before="200" w:after="60"/>
      </w:pPr>
      <w:r>
        <w:rPr>
          <w:rFonts w:ascii="Calibri" w:hAnsi="Calibri"/>
          <w:b/>
          <w:color w:val="0F172A"/>
          <w:sz w:val="24"/>
        </w:rPr>
        <w:t>90-Day Calibrated Resource Allocation:</w:t>
      </w:r>
    </w:p>
    <w:tbl>
      <w:tblPr>
        <w:tblW w:type="auto" w:w="0"/>
        <w:jc w:val="center"/>
        <w:tblLayout w:type="autofit"/>
        <w:tblLook w:firstColumn="1" w:firstRow="1" w:lastColumn="0" w:lastRow="0" w:noHBand="0" w:noVBand="1" w:val="04A0"/>
      </w:tblPr>
      <w:tblGrid>
        <w:gridCol w:w="2484"/>
        <w:gridCol w:w="2484"/>
        <w:gridCol w:w="2484"/>
        <w:gridCol w:w="2484"/>
      </w:tblGrid>
      <w:tr>
        <w:tc>
          <w:tcPr>
            <w:tcW w:type="dxa" w:w="2484"/>
            <w:shd w:val="clear" w:color="auto" w:fill="0F172A"/>
            <w:tcMar>
              <w:top w:w="100" w:type="dxa"/>
              <w:bottom w:w="100" w:type="dxa"/>
              <w:left w:w="120" w:type="dxa"/>
              <w:right w:w="120" w:type="dxa"/>
            </w:tcMar>
          </w:tcPr>
          <w:p>
            <w:pPr>
              <w:spacing w:before="20" w:after="20" w:line="276" w:lineRule="auto"/>
            </w:pPr>
            <w:r/>
            <w:r>
              <w:rPr>
                <w:b/>
                <w:color w:val="FFFFFF"/>
                <w:sz w:val="20"/>
              </w:rPr>
              <w:t>Resource Track</w:t>
            </w:r>
          </w:p>
        </w:tc>
        <w:tc>
          <w:tcPr>
            <w:tcW w:type="dxa" w:w="2484"/>
            <w:shd w:val="clear" w:color="auto" w:fill="0F172A"/>
            <w:tcMar>
              <w:top w:w="100" w:type="dxa"/>
              <w:bottom w:w="100" w:type="dxa"/>
              <w:left w:w="120" w:type="dxa"/>
              <w:right w:w="120" w:type="dxa"/>
            </w:tcMar>
          </w:tcPr>
          <w:p>
            <w:pPr>
              <w:spacing w:before="20" w:after="20" w:line="276" w:lineRule="auto"/>
            </w:pPr>
            <w:r/>
            <w:r>
              <w:rPr>
                <w:b/>
                <w:color w:val="FFFFFF"/>
                <w:sz w:val="20"/>
              </w:rPr>
              <w:t>Allocated Commitment</w:t>
            </w:r>
          </w:p>
        </w:tc>
        <w:tc>
          <w:tcPr>
            <w:tcW w:type="dxa" w:w="2484"/>
            <w:shd w:val="clear" w:color="auto" w:fill="0F172A"/>
            <w:tcMar>
              <w:top w:w="100" w:type="dxa"/>
              <w:bottom w:w="100" w:type="dxa"/>
              <w:left w:w="120" w:type="dxa"/>
              <w:right w:w="120" w:type="dxa"/>
            </w:tcMar>
          </w:tcPr>
          <w:p>
            <w:pPr>
              <w:spacing w:before="20" w:after="20" w:line="276" w:lineRule="auto"/>
            </w:pPr>
            <w:r/>
            <w:r>
              <w:rPr>
                <w:b/>
                <w:color w:val="FFFFFF"/>
                <w:sz w:val="20"/>
              </w:rPr>
              <w:t>Operational Cadence</w:t>
            </w:r>
          </w:p>
        </w:tc>
        <w:tc>
          <w:tcPr>
            <w:tcW w:type="dxa" w:w="2484"/>
            <w:shd w:val="clear" w:color="auto" w:fill="0F172A"/>
            <w:tcMar>
              <w:top w:w="100" w:type="dxa"/>
              <w:bottom w:w="100" w:type="dxa"/>
              <w:left w:w="120" w:type="dxa"/>
              <w:right w:w="120" w:type="dxa"/>
            </w:tcMar>
          </w:tcPr>
          <w:p>
            <w:pPr>
              <w:spacing w:before="20" w:after="20" w:line="276" w:lineRule="auto"/>
            </w:pPr>
            <w:r/>
            <w:r>
              <w:rPr>
                <w:b/>
                <w:color w:val="FFFFFF"/>
                <w:sz w:val="20"/>
              </w:rPr>
              <w:t>Key Focus &amp; Scope</w:t>
            </w:r>
          </w:p>
        </w:tc>
      </w:tr>
      <w:tr>
        <w:tc>
          <w:tcPr>
            <w:tcW w:type="dxa" w:w="2484"/>
            <w:shd w:val="clear" w:color="auto" w:fill="F8FAFC"/>
            <w:tcMar>
              <w:top w:w="70" w:type="dxa"/>
              <w:bottom w:w="70" w:type="dxa"/>
              <w:left w:w="120" w:type="dxa"/>
              <w:right w:w="120" w:type="dxa"/>
            </w:tcMar>
          </w:tcPr>
          <w:p>
            <w:pPr>
              <w:spacing w:before="20" w:after="20" w:line="276" w:lineRule="auto"/>
            </w:pPr>
            <w:r/>
            <w:r>
              <w:rPr>
                <w:b/>
                <w:color w:val="1E293B"/>
                <w:sz w:val="19"/>
              </w:rPr>
              <w:t>1. KVANN Engineering</w:t>
            </w:r>
          </w:p>
        </w:tc>
        <w:tc>
          <w:tcPr>
            <w:tcW w:type="dxa" w:w="2484"/>
            <w:shd w:val="clear" w:color="auto" w:fill="F8FAFC"/>
            <w:tcMar>
              <w:top w:w="70" w:type="dxa"/>
              <w:bottom w:w="70" w:type="dxa"/>
              <w:left w:w="120" w:type="dxa"/>
              <w:right w:w="120" w:type="dxa"/>
            </w:tcMar>
          </w:tcPr>
          <w:p>
            <w:pPr>
              <w:spacing w:before="20" w:after="20" w:line="276" w:lineRule="auto"/>
            </w:pPr>
            <w:r/>
            <w:r>
              <w:rPr>
                <w:b/>
                <w:color w:val="1E293B"/>
                <w:sz w:val="19"/>
              </w:rPr>
              <w:t>48 Hours Total</w:t>
            </w:r>
          </w:p>
        </w:tc>
        <w:tc>
          <w:tcPr>
            <w:tcW w:type="dxa" w:w="2484"/>
            <w:shd w:val="clear" w:color="auto" w:fill="F8FAFC"/>
            <w:tcMar>
              <w:top w:w="70" w:type="dxa"/>
              <w:bottom w:w="70" w:type="dxa"/>
              <w:left w:w="120" w:type="dxa"/>
              <w:right w:w="120" w:type="dxa"/>
            </w:tcMar>
          </w:tcPr>
          <w:p>
            <w:pPr>
              <w:spacing w:before="20" w:after="20" w:line="276" w:lineRule="auto"/>
            </w:pPr>
            <w:r/>
            <w:r>
              <w:rPr>
                <w:color w:val="1E293B"/>
                <w:sz w:val="19"/>
              </w:rPr>
              <w:t>~4 hrs / week</w:t>
            </w:r>
          </w:p>
        </w:tc>
        <w:tc>
          <w:tcPr>
            <w:tcW w:type="dxa" w:w="2484"/>
            <w:shd w:val="clear" w:color="auto" w:fill="F8FAFC"/>
            <w:tcMar>
              <w:top w:w="70" w:type="dxa"/>
              <w:bottom w:w="70" w:type="dxa"/>
              <w:left w:w="120" w:type="dxa"/>
              <w:right w:w="120" w:type="dxa"/>
            </w:tcMar>
          </w:tcPr>
          <w:p>
            <w:pPr>
              <w:spacing w:before="20" w:after="20" w:line="276" w:lineRule="auto"/>
            </w:pPr>
            <w:r/>
            <w:r>
              <w:rPr>
                <w:color w:val="1E293B"/>
                <w:sz w:val="19"/>
              </w:rPr>
              <w:t>Template calibration, algorithmic tuning &amp; assisted operations</w:t>
            </w:r>
          </w:p>
        </w:tc>
      </w:tr>
      <w:tr>
        <w:tc>
          <w:tcPr>
            <w:tcW w:type="dxa" w:w="2484"/>
            <w:shd w:val="clear" w:color="auto" w:fill="FFFFFF"/>
            <w:tcMar>
              <w:top w:w="70" w:type="dxa"/>
              <w:bottom w:w="70" w:type="dxa"/>
              <w:left w:w="120" w:type="dxa"/>
              <w:right w:w="120" w:type="dxa"/>
            </w:tcMar>
          </w:tcPr>
          <w:p>
            <w:pPr>
              <w:spacing w:before="20" w:after="20" w:line="276" w:lineRule="auto"/>
            </w:pPr>
            <w:r/>
            <w:r>
              <w:rPr>
                <w:b/>
                <w:color w:val="1E293B"/>
                <w:sz w:val="19"/>
              </w:rPr>
              <w:t>2. CCC Internal IT Liaison</w:t>
            </w:r>
          </w:p>
        </w:tc>
        <w:tc>
          <w:tcPr>
            <w:tcW w:type="dxa" w:w="2484"/>
            <w:shd w:val="clear" w:color="auto" w:fill="FFFFFF"/>
            <w:tcMar>
              <w:top w:w="70" w:type="dxa"/>
              <w:bottom w:w="70" w:type="dxa"/>
              <w:left w:w="120" w:type="dxa"/>
              <w:right w:w="120" w:type="dxa"/>
            </w:tcMar>
          </w:tcPr>
          <w:p>
            <w:pPr>
              <w:spacing w:before="20" w:after="20" w:line="276" w:lineRule="auto"/>
            </w:pPr>
            <w:r/>
            <w:r>
              <w:rPr>
                <w:b/>
                <w:color w:val="1E293B"/>
                <w:sz w:val="19"/>
              </w:rPr>
              <w:t>6 to 8 Hours Total</w:t>
            </w:r>
          </w:p>
        </w:tc>
        <w:tc>
          <w:tcPr>
            <w:tcW w:type="dxa" w:w="2484"/>
            <w:shd w:val="clear" w:color="auto" w:fill="FFFFFF"/>
            <w:tcMar>
              <w:top w:w="70" w:type="dxa"/>
              <w:bottom w:w="70" w:type="dxa"/>
              <w:left w:w="120" w:type="dxa"/>
              <w:right w:w="120" w:type="dxa"/>
            </w:tcMar>
          </w:tcPr>
          <w:p>
            <w:pPr>
              <w:spacing w:before="20" w:after="20" w:line="276" w:lineRule="auto"/>
            </w:pPr>
            <w:r/>
            <w:r>
              <w:rPr>
                <w:color w:val="1E293B"/>
                <w:sz w:val="19"/>
              </w:rPr>
              <w:t>&lt;30 min / week</w:t>
            </w:r>
          </w:p>
        </w:tc>
        <w:tc>
          <w:tcPr>
            <w:tcW w:type="dxa" w:w="2484"/>
            <w:shd w:val="clear" w:color="auto" w:fill="FFFFFF"/>
            <w:tcMar>
              <w:top w:w="70" w:type="dxa"/>
              <w:bottom w:w="70" w:type="dxa"/>
              <w:left w:w="120" w:type="dxa"/>
              <w:right w:w="120" w:type="dxa"/>
            </w:tcMar>
          </w:tcPr>
          <w:p>
            <w:pPr>
              <w:spacing w:before="20" w:after="20" w:line="276" w:lineRule="auto"/>
            </w:pPr>
            <w:r/>
            <w:r>
              <w:rPr>
                <w:color w:val="1E293B"/>
                <w:sz w:val="19"/>
              </w:rPr>
              <w:t>Intake initiation, provider NPI alignment, connectivity sign-off</w:t>
            </w:r>
          </w:p>
        </w:tc>
      </w:tr>
      <w:tr>
        <w:tc>
          <w:tcPr>
            <w:tcW w:type="dxa" w:w="2484"/>
            <w:shd w:val="clear" w:color="auto" w:fill="F8FAFC"/>
            <w:tcMar>
              <w:top w:w="70" w:type="dxa"/>
              <w:bottom w:w="70" w:type="dxa"/>
              <w:left w:w="120" w:type="dxa"/>
              <w:right w:w="120" w:type="dxa"/>
            </w:tcMar>
          </w:tcPr>
          <w:p>
            <w:pPr>
              <w:spacing w:before="20" w:after="20" w:line="276" w:lineRule="auto"/>
            </w:pPr>
            <w:r/>
            <w:r>
              <w:rPr>
                <w:b/>
                <w:color w:val="1E293B"/>
                <w:sz w:val="19"/>
              </w:rPr>
              <w:t>3. EHR Hosting (OCHIN Operations)</w:t>
            </w:r>
          </w:p>
        </w:tc>
        <w:tc>
          <w:tcPr>
            <w:tcW w:type="dxa" w:w="2484"/>
            <w:shd w:val="clear" w:color="auto" w:fill="F8FAFC"/>
            <w:tcMar>
              <w:top w:w="70" w:type="dxa"/>
              <w:bottom w:w="70" w:type="dxa"/>
              <w:left w:w="120" w:type="dxa"/>
              <w:right w:w="120" w:type="dxa"/>
            </w:tcMar>
          </w:tcPr>
          <w:p>
            <w:pPr>
              <w:spacing w:before="20" w:after="20" w:line="276" w:lineRule="auto"/>
            </w:pPr>
            <w:r/>
            <w:r>
              <w:rPr>
                <w:b/>
                <w:color w:val="1E293B"/>
                <w:sz w:val="19"/>
              </w:rPr>
              <w:t>10 to 14 Hours Total</w:t>
            </w:r>
          </w:p>
        </w:tc>
        <w:tc>
          <w:tcPr>
            <w:tcW w:type="dxa" w:w="2484"/>
            <w:shd w:val="clear" w:color="auto" w:fill="F8FAFC"/>
            <w:tcMar>
              <w:top w:w="70" w:type="dxa"/>
              <w:bottom w:w="70" w:type="dxa"/>
              <w:left w:w="120" w:type="dxa"/>
              <w:right w:w="120" w:type="dxa"/>
            </w:tcMar>
          </w:tcPr>
          <w:p>
            <w:pPr>
              <w:spacing w:before="20" w:after="20" w:line="276" w:lineRule="auto"/>
            </w:pPr>
            <w:r/>
            <w:r>
              <w:rPr>
                <w:color w:val="1E293B"/>
                <w:sz w:val="19"/>
              </w:rPr>
              <w:t>Weeks 2–4</w:t>
            </w:r>
          </w:p>
        </w:tc>
        <w:tc>
          <w:tcPr>
            <w:tcW w:type="dxa" w:w="2484"/>
            <w:shd w:val="clear" w:color="auto" w:fill="F8FAFC"/>
            <w:tcMar>
              <w:top w:w="70" w:type="dxa"/>
              <w:bottom w:w="70" w:type="dxa"/>
              <w:left w:w="120" w:type="dxa"/>
              <w:right w:w="120" w:type="dxa"/>
            </w:tcMar>
          </w:tcPr>
          <w:p>
            <w:pPr>
              <w:spacing w:before="20" w:after="20" w:line="276" w:lineRule="auto"/>
            </w:pPr>
            <w:r/>
            <w:r>
              <w:rPr>
                <w:color w:val="1E293B"/>
                <w:sz w:val="19"/>
              </w:rPr>
              <w:t>App registration in Interconnect, JWKS binding, read-only scopes</w:t>
            </w:r>
          </w:p>
        </w:tc>
      </w:tr>
      <w:tr>
        <w:tc>
          <w:tcPr>
            <w:tcW w:type="dxa" w:w="2484"/>
            <w:shd w:val="clear" w:color="auto" w:fill="FFFFFF"/>
            <w:tcMar>
              <w:top w:w="70" w:type="dxa"/>
              <w:bottom w:w="70" w:type="dxa"/>
              <w:left w:w="120" w:type="dxa"/>
              <w:right w:w="120" w:type="dxa"/>
            </w:tcMar>
          </w:tcPr>
          <w:p>
            <w:pPr>
              <w:spacing w:before="20" w:after="20" w:line="276" w:lineRule="auto"/>
            </w:pPr>
            <w:r/>
            <w:r>
              <w:rPr>
                <w:b/>
                <w:color w:val="1E293B"/>
                <w:sz w:val="19"/>
              </w:rPr>
              <w:t>4. CCC Clinical &amp; Operations Staff</w:t>
            </w:r>
          </w:p>
        </w:tc>
        <w:tc>
          <w:tcPr>
            <w:tcW w:type="dxa" w:w="2484"/>
            <w:shd w:val="clear" w:color="auto" w:fill="FFFFFF"/>
            <w:tcMar>
              <w:top w:w="70" w:type="dxa"/>
              <w:bottom w:w="70" w:type="dxa"/>
              <w:left w:w="120" w:type="dxa"/>
              <w:right w:w="120" w:type="dxa"/>
            </w:tcMar>
          </w:tcPr>
          <w:p>
            <w:pPr>
              <w:spacing w:before="20" w:after="20" w:line="276" w:lineRule="auto"/>
            </w:pPr>
            <w:r/>
            <w:r>
              <w:rPr>
                <w:b/>
                <w:color w:val="1E293B"/>
                <w:sz w:val="19"/>
              </w:rPr>
              <w:t>~18 to 20 Hours Total</w:t>
            </w:r>
          </w:p>
        </w:tc>
        <w:tc>
          <w:tcPr>
            <w:tcW w:type="dxa" w:w="2484"/>
            <w:shd w:val="clear" w:color="auto" w:fill="FFFFFF"/>
            <w:tcMar>
              <w:top w:w="70" w:type="dxa"/>
              <w:bottom w:w="70" w:type="dxa"/>
              <w:left w:w="120" w:type="dxa"/>
              <w:right w:w="120" w:type="dxa"/>
            </w:tcMar>
          </w:tcPr>
          <w:p>
            <w:pPr>
              <w:spacing w:before="20" w:after="20" w:line="276" w:lineRule="auto"/>
            </w:pPr>
            <w:r/>
            <w:r>
              <w:rPr>
                <w:color w:val="1E293B"/>
                <w:sz w:val="19"/>
              </w:rPr>
              <w:t>Distributed over 90 days</w:t>
            </w:r>
          </w:p>
        </w:tc>
        <w:tc>
          <w:tcPr>
            <w:tcW w:type="dxa" w:w="2484"/>
            <w:shd w:val="clear" w:color="auto" w:fill="FFFFFF"/>
            <w:tcMar>
              <w:top w:w="70" w:type="dxa"/>
              <w:bottom w:w="70" w:type="dxa"/>
              <w:left w:w="120" w:type="dxa"/>
              <w:right w:w="120" w:type="dxa"/>
            </w:tcMar>
          </w:tcPr>
          <w:p>
            <w:pPr>
              <w:spacing w:before="20" w:after="20" w:line="276" w:lineRule="auto"/>
            </w:pPr>
            <w:r/>
            <w:r>
              <w:rPr>
                <w:color w:val="1E293B"/>
                <w:sz w:val="19"/>
              </w:rPr>
              <w:t>Old Town Clinic Lead, Practice Manager, and 2–3 volunteer MDs</w:t>
            </w:r>
          </w:p>
        </w:tc>
      </w:tr>
    </w:tbl>
    <w:p>
      <w:pPr>
        <w:spacing w:before="0" w:after="80"/>
      </w:pPr>
    </w:p>
    <w:p>
      <w:pPr>
        <w:spacing w:before="80" w:after="80"/>
        <w:ind w:left="576"/>
      </w:pPr>
      <w:r>
        <w:rPr>
          <w:b/>
          <w:i/>
          <w:color w:val="64748B"/>
          <w:sz w:val="21"/>
        </w:rPr>
        <w:t>The Executive Guarantee:</w:t>
      </w:r>
    </w:p>
    <w:p>
      <w:pPr>
        <w:spacing w:before="80" w:after="80"/>
        <w:ind w:left="576"/>
      </w:pPr>
      <w:r>
        <w:rPr>
          <w:i/>
          <w:color w:val="64748B"/>
          <w:sz w:val="21"/>
        </w:rPr>
        <w:t>"KVANN provides 48 engineering hours inside the pilot window, on top of a completed pre-pilot baseline delivered at zero client cost. Furthermore, because we provide a Dual-Mode operational architecture, clinical value begins in Week 1 regardless of external EHR hosting review timelines."</w:t>
      </w:r>
    </w:p>
    <w:p>
      <w:pPr>
        <w:spacing w:before="280" w:after="80"/>
      </w:pPr>
      <w:r>
        <w:rPr>
          <w:rFonts w:ascii="Calibri" w:hAnsi="Calibri"/>
          <w:b/>
          <w:color w:val="0D9488"/>
          <w:sz w:val="30"/>
        </w:rPr>
        <w:t>2. What Is Already Built (Pre-Pilot Evidence Panel)</w:t>
      </w:r>
    </w:p>
    <w:p>
      <w:pPr>
        <w:spacing w:before="60" w:after="80"/>
      </w:pPr>
      <w:r>
        <w:rPr>
          <w:color w:val="1E293B"/>
          <w:sz w:val="21"/>
        </w:rPr>
        <w:t>KVANN does not conduct R&amp;D on the client's clock. Before Day 1 of the pilot, all fundamental algorithm development, data normalizers, and clinical interfaces are 100% pre-built and verified against public surfaces:</w:t>
      </w:r>
    </w:p>
    <w:tbl>
      <w:tblPr>
        <w:tblW w:type="auto" w:w="0"/>
        <w:jc w:val="center"/>
        <w:tblLayout w:type="autofit"/>
        <w:tblLook w:firstColumn="1" w:firstRow="1" w:lastColumn="0" w:lastRow="0" w:noHBand="0" w:noVBand="1" w:val="04A0"/>
      </w:tblPr>
      <w:tblGrid>
        <w:gridCol w:w="3312"/>
        <w:gridCol w:w="3312"/>
        <w:gridCol w:w="3312"/>
      </w:tblGrid>
      <w:tr>
        <w:tc>
          <w:tcPr>
            <w:tcW w:type="dxa" w:w="3312"/>
            <w:shd w:val="clear" w:color="auto" w:fill="0F172A"/>
            <w:tcMar>
              <w:top w:w="100" w:type="dxa"/>
              <w:bottom w:w="100" w:type="dxa"/>
              <w:left w:w="120" w:type="dxa"/>
              <w:right w:w="120" w:type="dxa"/>
            </w:tcMar>
          </w:tcPr>
          <w:p>
            <w:pPr>
              <w:spacing w:before="20" w:after="20" w:line="276" w:lineRule="auto"/>
            </w:pPr>
            <w:r/>
            <w:r>
              <w:rPr>
                <w:b/>
                <w:color w:val="FFFFFF"/>
                <w:sz w:val="20"/>
              </w:rPr>
              <w:t>Pre-Pilot Software Artifact</w:t>
            </w:r>
          </w:p>
        </w:tc>
        <w:tc>
          <w:tcPr>
            <w:tcW w:type="dxa" w:w="3312"/>
            <w:shd w:val="clear" w:color="auto" w:fill="0F172A"/>
            <w:tcMar>
              <w:top w:w="100" w:type="dxa"/>
              <w:bottom w:w="100" w:type="dxa"/>
              <w:left w:w="120" w:type="dxa"/>
              <w:right w:w="120" w:type="dxa"/>
            </w:tcMar>
          </w:tcPr>
          <w:p>
            <w:pPr>
              <w:spacing w:before="20" w:after="20" w:line="276" w:lineRule="auto"/>
            </w:pPr>
            <w:r/>
            <w:r>
              <w:rPr>
                <w:b/>
                <w:color w:val="FFFFFF"/>
                <w:sz w:val="20"/>
              </w:rPr>
              <w:t>Pre-Pilot Validation Surface</w:t>
            </w:r>
          </w:p>
        </w:tc>
        <w:tc>
          <w:tcPr>
            <w:tcW w:type="dxa" w:w="3312"/>
            <w:shd w:val="clear" w:color="auto" w:fill="0F172A"/>
            <w:tcMar>
              <w:top w:w="100" w:type="dxa"/>
              <w:bottom w:w="100" w:type="dxa"/>
              <w:left w:w="120" w:type="dxa"/>
              <w:right w:w="120" w:type="dxa"/>
            </w:tcMar>
          </w:tcPr>
          <w:p>
            <w:pPr>
              <w:spacing w:before="20" w:after="20" w:line="276" w:lineRule="auto"/>
            </w:pPr>
            <w:r/>
            <w:r>
              <w:rPr>
                <w:b/>
                <w:color w:val="FFFFFF"/>
                <w:sz w:val="20"/>
              </w:rPr>
              <w:t>Verified Status</w:t>
            </w:r>
          </w:p>
        </w:tc>
      </w:tr>
      <w:tr>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Discrete Optimization Engine</w:t>
            </w:r>
            <w:r>
              <w:rPr>
                <w:color w:val="1E293B"/>
                <w:sz w:val="19"/>
              </w:rPr>
              <w:t xml:space="preserve"> (Gravity Stacking, Lunch Firewall on a 15-min integer grid)</w:t>
            </w:r>
          </w:p>
        </w:tc>
        <w:tc>
          <w:tcPr>
            <w:tcW w:type="dxa" w:w="3312"/>
            <w:shd w:val="clear" w:color="auto" w:fill="F8FAFC"/>
            <w:tcMar>
              <w:top w:w="70" w:type="dxa"/>
              <w:bottom w:w="70" w:type="dxa"/>
              <w:left w:w="120" w:type="dxa"/>
              <w:right w:w="120" w:type="dxa"/>
            </w:tcMar>
          </w:tcPr>
          <w:p>
            <w:pPr>
              <w:spacing w:before="20" w:after="20" w:line="276" w:lineRule="auto"/>
            </w:pPr>
            <w:r/>
            <w:r>
              <w:rPr>
                <w:color w:val="1E293B"/>
                <w:sz w:val="19"/>
              </w:rPr>
              <w:t>Local testbed &amp; historical clinic logs</w:t>
            </w:r>
          </w:p>
        </w:tc>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115+ Unit &amp; Integration Tests Green</w:t>
            </w:r>
            <w:r>
              <w:rPr>
                <w:color w:val="1E293B"/>
                <w:sz w:val="19"/>
              </w:rPr>
              <w:t xml:space="preserve"> (100% exit code 0)</w:t>
            </w:r>
          </w:p>
        </w:tc>
      </w:tr>
      <w:tr>
        <w:tc>
          <w:tcPr>
            <w:tcW w:type="dxa" w:w="3312"/>
            <w:shd w:val="clear" w:color="auto" w:fill="FFFFFF"/>
            <w:tcMar>
              <w:top w:w="70" w:type="dxa"/>
              <w:bottom w:w="70" w:type="dxa"/>
              <w:left w:w="120" w:type="dxa"/>
              <w:right w:w="120" w:type="dxa"/>
            </w:tcMar>
          </w:tcPr>
          <w:p>
            <w:pPr>
              <w:spacing w:before="20" w:after="20" w:line="276" w:lineRule="auto"/>
            </w:pPr>
            <w:r/>
            <w:r>
              <w:rPr>
                <w:b/>
                <w:color w:val="1E293B"/>
                <w:sz w:val="19"/>
              </w:rPr>
              <w:t>SMART-on-FHIR OAuth2 Client</w:t>
            </w:r>
            <w:r>
              <w:rPr>
                <w:color w:val="1E293B"/>
                <w:sz w:val="19"/>
              </w:rPr>
              <w:t xml:space="preserve"> (Asymmetric RSA key-pair &amp; public JWKS endpoint)</w:t>
            </w:r>
          </w:p>
        </w:tc>
        <w:tc>
          <w:tcPr>
            <w:tcW w:type="dxa" w:w="3312"/>
            <w:shd w:val="clear" w:color="auto" w:fill="FFFFFF"/>
            <w:tcMar>
              <w:top w:w="70" w:type="dxa"/>
              <w:bottom w:w="70" w:type="dxa"/>
              <w:left w:w="120" w:type="dxa"/>
              <w:right w:w="120" w:type="dxa"/>
            </w:tcMar>
          </w:tcPr>
          <w:p>
            <w:pPr>
              <w:spacing w:before="20" w:after="20" w:line="276" w:lineRule="auto"/>
            </w:pPr>
            <w:r/>
            <w:r>
              <w:rPr>
                <w:color w:val="1E293B"/>
                <w:sz w:val="19"/>
              </w:rPr>
              <w:t>`open.epic.com` Public Epic Sandbox</w:t>
            </w:r>
          </w:p>
        </w:tc>
        <w:tc>
          <w:tcPr>
            <w:tcW w:type="dxa" w:w="3312"/>
            <w:shd w:val="clear" w:color="auto" w:fill="FFFFFF"/>
            <w:tcMar>
              <w:top w:w="70" w:type="dxa"/>
              <w:bottom w:w="70" w:type="dxa"/>
              <w:left w:w="120" w:type="dxa"/>
              <w:right w:w="120" w:type="dxa"/>
            </w:tcMar>
          </w:tcPr>
          <w:p>
            <w:pPr>
              <w:spacing w:before="20" w:after="20" w:line="276" w:lineRule="auto"/>
            </w:pPr>
            <w:r/>
            <w:r>
              <w:rPr>
                <w:b/>
                <w:color w:val="1E293B"/>
                <w:sz w:val="19"/>
              </w:rPr>
              <w:t>Pre-validated</w:t>
            </w:r>
            <w:r>
              <w:rPr>
                <w:color w:val="1E293B"/>
                <w:sz w:val="19"/>
              </w:rPr>
              <w:t xml:space="preserve"> against Epic R4 backend specifications</w:t>
            </w:r>
          </w:p>
        </w:tc>
      </w:tr>
      <w:tr>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FHIR R4 Schema Normalizers</w:t>
            </w:r>
            <w:r>
              <w:rPr>
                <w:color w:val="1E293B"/>
                <w:sz w:val="19"/>
              </w:rPr>
              <w:t xml:space="preserve"> (`Appointment`, `Schedule`, `Slot` read models)</w:t>
            </w:r>
          </w:p>
        </w:tc>
        <w:tc>
          <w:tcPr>
            <w:tcW w:type="dxa" w:w="3312"/>
            <w:shd w:val="clear" w:color="auto" w:fill="F8FAFC"/>
            <w:tcMar>
              <w:top w:w="70" w:type="dxa"/>
              <w:bottom w:w="70" w:type="dxa"/>
              <w:left w:w="120" w:type="dxa"/>
              <w:right w:w="120" w:type="dxa"/>
            </w:tcMar>
          </w:tcPr>
          <w:p>
            <w:pPr>
              <w:spacing w:before="20" w:after="20" w:line="276" w:lineRule="auto"/>
            </w:pPr>
            <w:r/>
            <w:r>
              <w:rPr>
                <w:color w:val="1E293B"/>
                <w:sz w:val="19"/>
              </w:rPr>
              <w:t>Epic R4 schemas &amp; synthetic clinical test sets</w:t>
            </w:r>
          </w:p>
        </w:tc>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Pre-mapped</w:t>
            </w:r>
            <w:r>
              <w:rPr>
                <w:color w:val="1E293B"/>
                <w:sz w:val="19"/>
              </w:rPr>
              <w:t xml:space="preserve"> to standard integer calendar states</w:t>
            </w:r>
          </w:p>
        </w:tc>
      </w:tr>
      <w:tr>
        <w:tc>
          <w:tcPr>
            <w:tcW w:type="dxa" w:w="3312"/>
            <w:shd w:val="clear" w:color="auto" w:fill="FFFFFF"/>
            <w:tcMar>
              <w:top w:w="70" w:type="dxa"/>
              <w:bottom w:w="70" w:type="dxa"/>
              <w:left w:w="120" w:type="dxa"/>
              <w:right w:w="120" w:type="dxa"/>
            </w:tcMar>
          </w:tcPr>
          <w:p>
            <w:pPr>
              <w:spacing w:before="20" w:after="20" w:line="276" w:lineRule="auto"/>
            </w:pPr>
            <w:r/>
            <w:r>
              <w:rPr>
                <w:b/>
                <w:color w:val="1E293B"/>
                <w:sz w:val="19"/>
              </w:rPr>
              <w:t>Staff-Facing Tetris Dashboard</w:t>
            </w:r>
            <w:r>
              <w:rPr>
                <w:color w:val="1E293B"/>
                <w:sz w:val="19"/>
              </w:rPr>
              <w:t xml:space="preserve"> (Compaction recommendation interface)</w:t>
            </w:r>
          </w:p>
        </w:tc>
        <w:tc>
          <w:tcPr>
            <w:tcW w:type="dxa" w:w="3312"/>
            <w:shd w:val="clear" w:color="auto" w:fill="FFFFFF"/>
            <w:tcMar>
              <w:top w:w="70" w:type="dxa"/>
              <w:bottom w:w="70" w:type="dxa"/>
              <w:left w:w="120" w:type="dxa"/>
              <w:right w:w="120" w:type="dxa"/>
            </w:tcMar>
          </w:tcPr>
          <w:p>
            <w:pPr>
              <w:spacing w:before="20" w:after="20" w:line="276" w:lineRule="auto"/>
            </w:pPr>
            <w:r/>
            <w:r>
              <w:rPr>
                <w:color w:val="1E293B"/>
                <w:sz w:val="19"/>
              </w:rPr>
              <w:t>Standalone client-side application</w:t>
            </w:r>
          </w:p>
        </w:tc>
        <w:tc>
          <w:tcPr>
            <w:tcW w:type="dxa" w:w="3312"/>
            <w:shd w:val="clear" w:color="auto" w:fill="FFFFFF"/>
            <w:tcMar>
              <w:top w:w="70" w:type="dxa"/>
              <w:bottom w:w="70" w:type="dxa"/>
              <w:left w:w="120" w:type="dxa"/>
              <w:right w:w="120" w:type="dxa"/>
            </w:tcMar>
          </w:tcPr>
          <w:p>
            <w:pPr>
              <w:spacing w:before="20" w:after="20" w:line="276" w:lineRule="auto"/>
            </w:pPr>
            <w:r/>
            <w:r>
              <w:rPr>
                <w:b/>
                <w:color w:val="1E293B"/>
                <w:sz w:val="19"/>
              </w:rPr>
              <w:t>Staged &amp; Demonstrable</w:t>
            </w:r>
            <w:r>
              <w:rPr>
                <w:color w:val="1E293B"/>
                <w:sz w:val="19"/>
              </w:rPr>
              <w:t xml:space="preserve"> (10-minute live demo available)</w:t>
            </w:r>
          </w:p>
        </w:tc>
      </w:tr>
    </w:tbl>
    <w:p>
      <w:pPr>
        <w:spacing w:before="0" w:after="80"/>
      </w:pPr>
    </w:p>
    <w:p>
      <w:pPr>
        <w:spacing w:before="60" w:after="80"/>
      </w:pPr>
      <w:r>
        <w:rPr>
          <w:color w:val="1E293B"/>
          <w:sz w:val="21"/>
        </w:rPr>
        <w:t xml:space="preserve">Because these core assets are fully pre-built, </w:t>
      </w:r>
      <w:r>
        <w:rPr>
          <w:b/>
          <w:color w:val="1E293B"/>
          <w:sz w:val="21"/>
        </w:rPr>
        <w:t>the 48 in-pilot engineering hours are dedicated exclusively to Old Town Clinic template calibration, provider workflow alignment, and assisted operational support</w:t>
      </w:r>
      <w:r>
        <w:rPr>
          <w:color w:val="1E293B"/>
          <w:sz w:val="21"/>
        </w:rPr>
        <w:t>.</w:t>
      </w:r>
    </w:p>
    <w:p>
      <w:pPr>
        <w:spacing w:before="280" w:after="80"/>
      </w:pPr>
      <w:r>
        <w:rPr>
          <w:rFonts w:ascii="Calibri" w:hAnsi="Calibri"/>
          <w:b/>
          <w:color w:val="0D9488"/>
          <w:sz w:val="30"/>
        </w:rPr>
        <w:t>3. The 90-Day Clinical Pilot Schedule &amp; Pacing</w:t>
      </w:r>
    </w:p>
    <w:p>
      <w:pPr>
        <w:spacing w:before="60" w:after="80"/>
      </w:pPr>
      <w:r>
        <w:rPr>
          <w:color w:val="1E293B"/>
          <w:sz w:val="21"/>
        </w:rPr>
        <w:t>The pilot is structured into four distinct phases designed to accelerate clinical time-to-value while accommodating external hosting change-control timelines:</w:t>
      </w:r>
    </w:p>
    <w:tbl>
      <w:tblPr>
        <w:tblW w:type="auto" w:w="0"/>
        <w:jc w:val="center"/>
        <w:tblLayout w:type="autofit"/>
        <w:tblLook w:firstColumn="1" w:firstRow="1" w:lastColumn="0" w:lastRow="0" w:noHBand="0" w:noVBand="1" w:val="04A0"/>
      </w:tblPr>
      <w:tblGrid>
        <w:gridCol w:w="1419"/>
        <w:gridCol w:w="1419"/>
        <w:gridCol w:w="1419"/>
        <w:gridCol w:w="1419"/>
        <w:gridCol w:w="1419"/>
        <w:gridCol w:w="1419"/>
        <w:gridCol w:w="1419"/>
      </w:tblGrid>
      <w:tr>
        <w:tc>
          <w:tcPr>
            <w:tcW w:type="dxa" w:w="1419"/>
            <w:shd w:val="clear" w:color="auto" w:fill="0F172A"/>
            <w:tcMar>
              <w:top w:w="100" w:type="dxa"/>
              <w:bottom w:w="100" w:type="dxa"/>
              <w:left w:w="120" w:type="dxa"/>
              <w:right w:w="120" w:type="dxa"/>
            </w:tcMar>
          </w:tcPr>
          <w:p>
            <w:pPr>
              <w:spacing w:before="20" w:after="20" w:line="276" w:lineRule="auto"/>
            </w:pPr>
            <w:r/>
            <w:r>
              <w:rPr>
                <w:b/>
                <w:color w:val="FFFFFF"/>
                <w:sz w:val="20"/>
              </w:rPr>
              <w:t>Phase &amp; Timeline</w:t>
            </w:r>
          </w:p>
        </w:tc>
        <w:tc>
          <w:tcPr>
            <w:tcW w:type="dxa" w:w="1419"/>
            <w:shd w:val="clear" w:color="auto" w:fill="0F172A"/>
            <w:tcMar>
              <w:top w:w="100" w:type="dxa"/>
              <w:bottom w:w="100" w:type="dxa"/>
              <w:left w:w="120" w:type="dxa"/>
              <w:right w:w="120" w:type="dxa"/>
            </w:tcMar>
          </w:tcPr>
          <w:p>
            <w:pPr>
              <w:spacing w:before="20" w:after="20" w:line="276" w:lineRule="auto"/>
            </w:pPr>
            <w:r/>
            <w:r>
              <w:rPr>
                <w:b/>
                <w:color w:val="FFFFFF"/>
                <w:sz w:val="20"/>
              </w:rPr>
              <w:t>Operational Focus</w:t>
            </w:r>
          </w:p>
        </w:tc>
        <w:tc>
          <w:tcPr>
            <w:tcW w:type="dxa" w:w="1419"/>
            <w:shd w:val="clear" w:color="auto" w:fill="0F172A"/>
            <w:tcMar>
              <w:top w:w="100" w:type="dxa"/>
              <w:bottom w:w="100" w:type="dxa"/>
              <w:left w:w="120" w:type="dxa"/>
              <w:right w:w="120" w:type="dxa"/>
            </w:tcMar>
          </w:tcPr>
          <w:p>
            <w:pPr>
              <w:spacing w:before="20" w:after="20" w:line="276" w:lineRule="auto"/>
            </w:pPr>
            <w:r/>
            <w:r>
              <w:rPr>
                <w:b/>
                <w:color w:val="FFFFFF"/>
                <w:sz w:val="20"/>
              </w:rPr>
              <w:t>Key Deliverable</w:t>
            </w:r>
          </w:p>
        </w:tc>
        <w:tc>
          <w:tcPr>
            <w:tcW w:type="dxa" w:w="1419"/>
            <w:shd w:val="clear" w:color="auto" w:fill="0F172A"/>
            <w:tcMar>
              <w:top w:w="100" w:type="dxa"/>
              <w:bottom w:w="100" w:type="dxa"/>
              <w:left w:w="120" w:type="dxa"/>
              <w:right w:w="120" w:type="dxa"/>
            </w:tcMar>
          </w:tcPr>
          <w:p>
            <w:pPr>
              <w:spacing w:before="20" w:after="20" w:line="276" w:lineRule="auto"/>
            </w:pPr>
            <w:r/>
            <w:r>
              <w:rPr>
                <w:b/>
                <w:color w:val="FFFFFF"/>
                <w:sz w:val="20"/>
              </w:rPr>
              <w:t>KVANN Eng</w:t>
            </w:r>
          </w:p>
        </w:tc>
        <w:tc>
          <w:tcPr>
            <w:tcW w:type="dxa" w:w="1419"/>
            <w:shd w:val="clear" w:color="auto" w:fill="0F172A"/>
            <w:tcMar>
              <w:top w:w="100" w:type="dxa"/>
              <w:bottom w:w="100" w:type="dxa"/>
              <w:left w:w="120" w:type="dxa"/>
              <w:right w:w="120" w:type="dxa"/>
            </w:tcMar>
          </w:tcPr>
          <w:p>
            <w:pPr>
              <w:spacing w:before="20" w:after="20" w:line="276" w:lineRule="auto"/>
            </w:pPr>
            <w:r/>
            <w:r>
              <w:rPr>
                <w:b/>
                <w:color w:val="FFFFFF"/>
                <w:sz w:val="20"/>
              </w:rPr>
              <w:t>CCC Internal IT</w:t>
            </w:r>
          </w:p>
        </w:tc>
        <w:tc>
          <w:tcPr>
            <w:tcW w:type="dxa" w:w="1419"/>
            <w:shd w:val="clear" w:color="auto" w:fill="0F172A"/>
            <w:tcMar>
              <w:top w:w="100" w:type="dxa"/>
              <w:bottom w:w="100" w:type="dxa"/>
              <w:left w:w="120" w:type="dxa"/>
              <w:right w:w="120" w:type="dxa"/>
            </w:tcMar>
          </w:tcPr>
          <w:p>
            <w:pPr>
              <w:spacing w:before="20" w:after="20" w:line="276" w:lineRule="auto"/>
            </w:pPr>
            <w:r/>
            <w:r>
              <w:rPr>
                <w:b/>
                <w:color w:val="FFFFFF"/>
                <w:sz w:val="20"/>
              </w:rPr>
              <w:t>EHR Host (OCHIN)</w:t>
            </w:r>
          </w:p>
        </w:tc>
        <w:tc>
          <w:tcPr>
            <w:tcW w:type="dxa" w:w="1419"/>
            <w:shd w:val="clear" w:color="auto" w:fill="0F172A"/>
            <w:tcMar>
              <w:top w:w="100" w:type="dxa"/>
              <w:bottom w:w="100" w:type="dxa"/>
              <w:left w:w="120" w:type="dxa"/>
              <w:right w:w="120" w:type="dxa"/>
            </w:tcMar>
          </w:tcPr>
          <w:p>
            <w:pPr>
              <w:spacing w:before="20" w:after="20" w:line="276" w:lineRule="auto"/>
            </w:pPr>
            <w:r/>
            <w:r>
              <w:rPr>
                <w:b/>
                <w:color w:val="FFFFFF"/>
                <w:sz w:val="20"/>
              </w:rPr>
              <w:t>CCC Clinical &amp; Ops</w:t>
            </w:r>
          </w:p>
        </w:tc>
      </w:tr>
      <w:tr>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Phase 1: Weeks 1–2</w:t>
            </w:r>
          </w:p>
          <w:p>
            <w:pPr>
              <w:spacing w:before="20" w:after="20" w:line="276" w:lineRule="auto"/>
            </w:pPr>
            <w:r>
              <w:rPr>
                <w:i/>
                <w:color w:val="1E293B"/>
                <w:sz w:val="19"/>
              </w:rPr>
              <w:t>(Days 1–14)</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Intake Handshake &amp; Baseline Ingestion</w:t>
            </w:r>
          </w:p>
          <w:p>
            <w:pPr>
              <w:spacing w:before="20" w:after="20" w:line="276" w:lineRule="auto"/>
            </w:pPr>
            <w:r>
              <w:rPr>
                <w:color w:val="1E293B"/>
                <w:sz w:val="19"/>
              </w:rPr>
              <w:t>• Initiate OCHIN third-party app request</w:t>
            </w:r>
          </w:p>
          <w:p>
            <w:pPr>
              <w:spacing w:before="20" w:after="20" w:line="276" w:lineRule="auto"/>
            </w:pPr>
            <w:r>
              <w:rPr>
                <w:color w:val="1E293B"/>
                <w:sz w:val="19"/>
              </w:rPr>
              <w:t>• Ingest 30-day anonymized historical schedule export</w:t>
            </w:r>
          </w:p>
          <w:p>
            <w:pPr>
              <w:spacing w:before="20" w:after="20" w:line="276" w:lineRule="auto"/>
            </w:pPr>
            <w:r>
              <w:rPr>
                <w:color w:val="1E293B"/>
                <w:sz w:val="19"/>
              </w:rPr>
              <w:t>• Mode B operational on Day 1</w:t>
            </w:r>
          </w:p>
        </w:tc>
        <w:tc>
          <w:tcPr>
            <w:tcW w:type="dxa" w:w="1419"/>
            <w:shd w:val="clear" w:color="auto" w:fill="F8FAFC"/>
            <w:tcMar>
              <w:top w:w="70" w:type="dxa"/>
              <w:bottom w:w="70" w:type="dxa"/>
              <w:left w:w="120" w:type="dxa"/>
              <w:right w:w="120" w:type="dxa"/>
            </w:tcMar>
          </w:tcPr>
          <w:p>
            <w:pPr>
              <w:spacing w:before="20" w:after="20" w:line="276" w:lineRule="auto"/>
            </w:pPr>
            <w:r/>
            <w:r>
              <w:rPr>
                <w:color w:val="1E293B"/>
                <w:sz w:val="19"/>
              </w:rPr>
              <w:t>Initial Data Confirmation &amp; Baseline Audit</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12 h</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3–4 h</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6–8 h</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Lead:</w:t>
            </w:r>
            <w:r>
              <w:rPr>
                <w:color w:val="1E293B"/>
                <w:sz w:val="19"/>
              </w:rPr>
              <w:t xml:space="preserve"> 1 h</w:t>
            </w:r>
          </w:p>
          <w:p>
            <w:pPr>
              <w:spacing w:before="20" w:after="20" w:line="276" w:lineRule="auto"/>
            </w:pPr>
            <w:r>
              <w:rPr>
                <w:b/>
                <w:color w:val="1E293B"/>
                <w:sz w:val="19"/>
              </w:rPr>
              <w:t>Exec:</w:t>
            </w:r>
            <w:r>
              <w:rPr>
                <w:color w:val="1E293B"/>
                <w:sz w:val="19"/>
              </w:rPr>
              <w:t xml:space="preserve"> 1 h</w:t>
            </w:r>
          </w:p>
        </w:tc>
      </w:tr>
      <w:tr>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Phase 2: Weeks 3–4</w:t>
            </w:r>
          </w:p>
          <w:p>
            <w:pPr>
              <w:spacing w:before="20" w:after="20" w:line="276" w:lineRule="auto"/>
            </w:pPr>
            <w:r>
              <w:rPr>
                <w:i/>
                <w:color w:val="1E293B"/>
                <w:sz w:val="19"/>
              </w:rPr>
              <w:t>(Days 15–28)</w:t>
            </w:r>
          </w:p>
        </w:tc>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Template Calibration &amp; Baseline Report</w:t>
            </w:r>
          </w:p>
          <w:p>
            <w:pPr>
              <w:spacing w:before="20" w:after="20" w:line="276" w:lineRule="auto"/>
            </w:pPr>
            <w:r>
              <w:rPr>
                <w:color w:val="1E293B"/>
                <w:sz w:val="19"/>
              </w:rPr>
              <w:t>• Lock provider templates &amp; Lunch Firewall rules</w:t>
            </w:r>
          </w:p>
          <w:p>
            <w:pPr>
              <w:spacing w:before="20" w:after="20" w:line="276" w:lineRule="auto"/>
            </w:pPr>
            <w:r>
              <w:rPr>
                <w:color w:val="1E293B"/>
                <w:sz w:val="19"/>
              </w:rPr>
              <w:t>• Deliver 30-day historical density variance report</w:t>
            </w:r>
          </w:p>
          <w:p>
            <w:pPr>
              <w:spacing w:before="20" w:after="20" w:line="276" w:lineRule="auto"/>
            </w:pPr>
            <w:r>
              <w:rPr>
                <w:color w:val="1E293B"/>
                <w:sz w:val="19"/>
              </w:rPr>
              <w:t>• OCHIN sandbox testing validation</w:t>
            </w:r>
          </w:p>
        </w:tc>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First Schedule Density Variance Report</w:t>
            </w:r>
            <w:r>
              <w:rPr>
                <w:color w:val="1E293B"/>
                <w:sz w:val="19"/>
              </w:rPr>
              <w:t xml:space="preserve"> (Joint sign-off)</w:t>
            </w:r>
          </w:p>
        </w:tc>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12 h</w:t>
            </w:r>
          </w:p>
        </w:tc>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1–2 h</w:t>
            </w:r>
          </w:p>
        </w:tc>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2–3 h</w:t>
            </w:r>
          </w:p>
        </w:tc>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Lead:</w:t>
            </w:r>
            <w:r>
              <w:rPr>
                <w:color w:val="1E293B"/>
                <w:sz w:val="19"/>
              </w:rPr>
              <w:t xml:space="preserve"> 2 h</w:t>
            </w:r>
          </w:p>
          <w:p>
            <w:pPr>
              <w:spacing w:before="20" w:after="20" w:line="276" w:lineRule="auto"/>
            </w:pPr>
            <w:r>
              <w:rPr>
                <w:b/>
                <w:color w:val="1E293B"/>
                <w:sz w:val="19"/>
              </w:rPr>
              <w:t>Mgr:</w:t>
            </w:r>
            <w:r>
              <w:rPr>
                <w:color w:val="1E293B"/>
                <w:sz w:val="19"/>
              </w:rPr>
              <w:t xml:space="preserve"> 2 h</w:t>
            </w:r>
          </w:p>
        </w:tc>
      </w:tr>
      <w:tr>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Phase 3: Weeks 5–10</w:t>
            </w:r>
          </w:p>
          <w:p>
            <w:pPr>
              <w:spacing w:before="20" w:after="20" w:line="276" w:lineRule="auto"/>
            </w:pPr>
            <w:r>
              <w:rPr>
                <w:i/>
                <w:color w:val="1E293B"/>
                <w:sz w:val="19"/>
              </w:rPr>
              <w:t>(Days 29–70)</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Live Assisted Pilot (Staff-Facing)</w:t>
            </w:r>
          </w:p>
          <w:p>
            <w:pPr>
              <w:spacing w:before="20" w:after="20" w:line="276" w:lineRule="auto"/>
            </w:pPr>
            <w:r>
              <w:rPr>
                <w:color w:val="1E293B"/>
                <w:sz w:val="19"/>
              </w:rPr>
              <w:t>• 6 consecutive weeks of compaction recommendations</w:t>
            </w:r>
          </w:p>
          <w:p>
            <w:pPr>
              <w:spacing w:before="20" w:after="20" w:line="276" w:lineRule="auto"/>
            </w:pPr>
            <w:r>
              <w:rPr>
                <w:color w:val="1E293B"/>
                <w:sz w:val="19"/>
              </w:rPr>
              <w:t>• Bi-weekly 15-min touchpoints with volunteer MDs</w:t>
            </w:r>
          </w:p>
          <w:p>
            <w:pPr>
              <w:spacing w:before="20" w:after="20" w:line="276" w:lineRule="auto"/>
            </w:pPr>
            <w:r>
              <w:rPr>
                <w:color w:val="1E293B"/>
                <w:sz w:val="19"/>
              </w:rPr>
              <w:t>• Mode A credential cutover when cleared</w:t>
            </w:r>
          </w:p>
        </w:tc>
        <w:tc>
          <w:tcPr>
            <w:tcW w:type="dxa" w:w="1419"/>
            <w:shd w:val="clear" w:color="auto" w:fill="F8FAFC"/>
            <w:tcMar>
              <w:top w:w="70" w:type="dxa"/>
              <w:bottom w:w="70" w:type="dxa"/>
              <w:left w:w="120" w:type="dxa"/>
              <w:right w:w="120" w:type="dxa"/>
            </w:tcMar>
          </w:tcPr>
          <w:p>
            <w:pPr>
              <w:spacing w:before="20" w:after="20" w:line="276" w:lineRule="auto"/>
            </w:pPr>
            <w:r/>
            <w:r>
              <w:rPr>
                <w:color w:val="1E293B"/>
                <w:sz w:val="19"/>
              </w:rPr>
              <w:t>Weekly Density Lift Reports &amp; Calibration Checkpoints</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16 h</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1 h</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1–2 h</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2–3 MDs:</w:t>
            </w:r>
            <w:r>
              <w:rPr>
                <w:color w:val="1E293B"/>
                <w:sz w:val="19"/>
              </w:rPr>
              <w:t xml:space="preserve"> 3 h ea</w:t>
            </w:r>
          </w:p>
          <w:p>
            <w:pPr>
              <w:spacing w:before="20" w:after="20" w:line="276" w:lineRule="auto"/>
            </w:pPr>
            <w:r>
              <w:rPr>
                <w:b/>
                <w:color w:val="1E293B"/>
                <w:sz w:val="19"/>
              </w:rPr>
              <w:t>Mgr:</w:t>
            </w:r>
            <w:r>
              <w:rPr>
                <w:color w:val="1E293B"/>
                <w:sz w:val="19"/>
              </w:rPr>
              <w:t xml:space="preserve"> 1 h/wk</w:t>
            </w:r>
          </w:p>
        </w:tc>
      </w:tr>
      <w:tr>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Phase 4: Weeks 11–12</w:t>
            </w:r>
          </w:p>
          <w:p>
            <w:pPr>
              <w:spacing w:before="20" w:after="20" w:line="276" w:lineRule="auto"/>
            </w:pPr>
            <w:r>
              <w:rPr>
                <w:i/>
                <w:color w:val="1E293B"/>
                <w:sz w:val="19"/>
              </w:rPr>
              <w:t>(Days 71–90)</w:t>
            </w:r>
          </w:p>
        </w:tc>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Outcome Evaluation &amp; Executive Briefing</w:t>
            </w:r>
          </w:p>
          <w:p>
            <w:pPr>
              <w:spacing w:before="20" w:after="20" w:line="276" w:lineRule="auto"/>
            </w:pPr>
            <w:r>
              <w:rPr>
                <w:color w:val="1E293B"/>
                <w:sz w:val="19"/>
              </w:rPr>
              <w:t>• Measure net completed visit lift vs. historical baseline</w:t>
            </w:r>
          </w:p>
          <w:p>
            <w:pPr>
              <w:spacing w:before="20" w:after="20" w:line="276" w:lineRule="auto"/>
            </w:pPr>
            <w:r>
              <w:rPr>
                <w:color w:val="1E293B"/>
                <w:sz w:val="19"/>
              </w:rPr>
              <w:t>• Evaluate provider rest &amp; overtime reduction metrics</w:t>
            </w:r>
          </w:p>
        </w:tc>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Final Clinical ROI &amp; Operational Case Study</w:t>
            </w:r>
          </w:p>
        </w:tc>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8 h</w:t>
            </w:r>
          </w:p>
        </w:tc>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1 h</w:t>
            </w:r>
          </w:p>
        </w:tc>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1 h</w:t>
            </w:r>
          </w:p>
        </w:tc>
        <w:tc>
          <w:tcPr>
            <w:tcW w:type="dxa" w:w="1419"/>
            <w:shd w:val="clear" w:color="auto" w:fill="FFFFFF"/>
            <w:tcMar>
              <w:top w:w="70" w:type="dxa"/>
              <w:bottom w:w="70" w:type="dxa"/>
              <w:left w:w="120" w:type="dxa"/>
              <w:right w:w="120" w:type="dxa"/>
            </w:tcMar>
          </w:tcPr>
          <w:p>
            <w:pPr>
              <w:spacing w:before="20" w:after="20" w:line="276" w:lineRule="auto"/>
            </w:pPr>
            <w:r/>
            <w:r>
              <w:rPr>
                <w:b/>
                <w:color w:val="1E293B"/>
                <w:sz w:val="19"/>
              </w:rPr>
              <w:t>Exec:</w:t>
            </w:r>
            <w:r>
              <w:rPr>
                <w:color w:val="1E293B"/>
                <w:sz w:val="19"/>
              </w:rPr>
              <w:t xml:space="preserve"> 1 h</w:t>
            </w:r>
          </w:p>
          <w:p>
            <w:pPr>
              <w:spacing w:before="20" w:after="20" w:line="276" w:lineRule="auto"/>
            </w:pPr>
            <w:r>
              <w:rPr>
                <w:b/>
                <w:color w:val="1E293B"/>
                <w:sz w:val="19"/>
              </w:rPr>
              <w:t>Mgr:</w:t>
            </w:r>
            <w:r>
              <w:rPr>
                <w:color w:val="1E293B"/>
                <w:sz w:val="19"/>
              </w:rPr>
              <w:t xml:space="preserve"> 1 h</w:t>
            </w:r>
          </w:p>
        </w:tc>
      </w:tr>
      <w:tr>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TOTALS</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Complete 90-Day Lifecycle</w:t>
            </w:r>
          </w:p>
        </w:tc>
        <w:tc>
          <w:tcPr>
            <w:tcW w:type="dxa" w:w="1419"/>
            <w:shd w:val="clear" w:color="auto" w:fill="F8FAFC"/>
            <w:tcMar>
              <w:top w:w="70" w:type="dxa"/>
              <w:bottom w:w="70" w:type="dxa"/>
              <w:left w:w="120" w:type="dxa"/>
              <w:right w:w="120" w:type="dxa"/>
            </w:tcMar>
          </w:tcPr>
          <w:p>
            <w:pPr>
              <w:spacing w:before="20" w:after="20" w:line="276" w:lineRule="auto"/>
            </w:pPr>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48 Hours</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6–8 Hours</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10–14 Hours</w:t>
            </w:r>
          </w:p>
        </w:tc>
        <w:tc>
          <w:tcPr>
            <w:tcW w:type="dxa" w:w="1419"/>
            <w:shd w:val="clear" w:color="auto" w:fill="F8FAFC"/>
            <w:tcMar>
              <w:top w:w="70" w:type="dxa"/>
              <w:bottom w:w="70" w:type="dxa"/>
              <w:left w:w="120" w:type="dxa"/>
              <w:right w:w="120" w:type="dxa"/>
            </w:tcMar>
          </w:tcPr>
          <w:p>
            <w:pPr>
              <w:spacing w:before="20" w:after="20" w:line="276" w:lineRule="auto"/>
            </w:pPr>
            <w:r/>
            <w:r>
              <w:rPr>
                <w:b/>
                <w:color w:val="1E293B"/>
                <w:sz w:val="19"/>
              </w:rPr>
              <w:t>~18–20 Hours</w:t>
            </w:r>
          </w:p>
        </w:tc>
      </w:tr>
    </w:tbl>
    <w:p>
      <w:pPr>
        <w:spacing w:before="0" w:after="80"/>
      </w:pPr>
    </w:p>
    <w:p>
      <w:pPr>
        <w:spacing w:before="280" w:after="80"/>
      </w:pPr>
      <w:r>
        <w:rPr>
          <w:rFonts w:ascii="Calibri" w:hAnsi="Calibri"/>
          <w:b/>
          <w:color w:val="0D9488"/>
          <w:sz w:val="30"/>
        </w:rPr>
        <w:t>4. Resource Commitment Breakdown by Organization &amp; Role</w:t>
      </w:r>
    </w:p>
    <w:p>
      <w:pPr>
        <w:spacing w:before="200" w:after="60"/>
      </w:pPr>
      <w:r>
        <w:rPr>
          <w:rFonts w:ascii="Calibri" w:hAnsi="Calibri"/>
          <w:b/>
          <w:color w:val="0F172A"/>
          <w:sz w:val="24"/>
        </w:rPr>
        <w:t>A. Central City Concern Personnel</w:t>
      </w:r>
    </w:p>
    <w:tbl>
      <w:tblPr>
        <w:tblW w:type="auto" w:w="0"/>
        <w:jc w:val="center"/>
        <w:tblLayout w:type="autofit"/>
        <w:tblLook w:firstColumn="1" w:firstRow="1" w:lastColumn="0" w:lastRow="0" w:noHBand="0" w:noVBand="1" w:val="04A0"/>
      </w:tblPr>
      <w:tblGrid>
        <w:gridCol w:w="2484"/>
        <w:gridCol w:w="2484"/>
        <w:gridCol w:w="2484"/>
        <w:gridCol w:w="2484"/>
      </w:tblGrid>
      <w:tr>
        <w:tc>
          <w:tcPr>
            <w:tcW w:type="dxa" w:w="2484"/>
            <w:shd w:val="clear" w:color="auto" w:fill="0F172A"/>
            <w:tcMar>
              <w:top w:w="100" w:type="dxa"/>
              <w:bottom w:w="100" w:type="dxa"/>
              <w:left w:w="120" w:type="dxa"/>
              <w:right w:w="120" w:type="dxa"/>
            </w:tcMar>
          </w:tcPr>
          <w:p>
            <w:pPr>
              <w:spacing w:before="20" w:after="20" w:line="276" w:lineRule="auto"/>
            </w:pPr>
            <w:r/>
            <w:r>
              <w:rPr>
                <w:b/>
                <w:color w:val="FFFFFF"/>
                <w:sz w:val="20"/>
              </w:rPr>
              <w:t>Role / Title</w:t>
            </w:r>
          </w:p>
        </w:tc>
        <w:tc>
          <w:tcPr>
            <w:tcW w:type="dxa" w:w="2484"/>
            <w:shd w:val="clear" w:color="auto" w:fill="0F172A"/>
            <w:tcMar>
              <w:top w:w="100" w:type="dxa"/>
              <w:bottom w:w="100" w:type="dxa"/>
              <w:left w:w="120" w:type="dxa"/>
              <w:right w:w="120" w:type="dxa"/>
            </w:tcMar>
          </w:tcPr>
          <w:p>
            <w:pPr>
              <w:spacing w:before="20" w:after="20" w:line="276" w:lineRule="auto"/>
            </w:pPr>
            <w:r/>
            <w:r>
              <w:rPr>
                <w:b/>
                <w:color w:val="FFFFFF"/>
                <w:sz w:val="20"/>
              </w:rPr>
              <w:t>Key Responsibilities During Pilot</w:t>
            </w:r>
          </w:p>
        </w:tc>
        <w:tc>
          <w:tcPr>
            <w:tcW w:type="dxa" w:w="2484"/>
            <w:shd w:val="clear" w:color="auto" w:fill="0F172A"/>
            <w:tcMar>
              <w:top w:w="100" w:type="dxa"/>
              <w:bottom w:w="100" w:type="dxa"/>
              <w:left w:w="120" w:type="dxa"/>
              <w:right w:w="120" w:type="dxa"/>
            </w:tcMar>
          </w:tcPr>
          <w:p>
            <w:pPr>
              <w:spacing w:before="20" w:after="20" w:line="276" w:lineRule="auto"/>
            </w:pPr>
            <w:r/>
            <w:r>
              <w:rPr>
                <w:b/>
                <w:color w:val="FFFFFF"/>
                <w:sz w:val="20"/>
              </w:rPr>
              <w:t>Total Hours (90 Days)</w:t>
            </w:r>
          </w:p>
        </w:tc>
        <w:tc>
          <w:tcPr>
            <w:tcW w:type="dxa" w:w="2484"/>
            <w:shd w:val="clear" w:color="auto" w:fill="0F172A"/>
            <w:tcMar>
              <w:top w:w="100" w:type="dxa"/>
              <w:bottom w:w="100" w:type="dxa"/>
              <w:left w:w="120" w:type="dxa"/>
              <w:right w:w="120" w:type="dxa"/>
            </w:tcMar>
          </w:tcPr>
          <w:p>
            <w:pPr>
              <w:spacing w:before="20" w:after="20" w:line="276" w:lineRule="auto"/>
            </w:pPr>
            <w:r/>
            <w:r>
              <w:rPr>
                <w:b/>
                <w:color w:val="FFFFFF"/>
                <w:sz w:val="20"/>
              </w:rPr>
              <w:t>Average Pacing</w:t>
            </w:r>
          </w:p>
        </w:tc>
      </w:tr>
      <w:tr>
        <w:tc>
          <w:tcPr>
            <w:tcW w:type="dxa" w:w="2484"/>
            <w:shd w:val="clear" w:color="auto" w:fill="F8FAFC"/>
            <w:tcMar>
              <w:top w:w="70" w:type="dxa"/>
              <w:bottom w:w="70" w:type="dxa"/>
              <w:left w:w="120" w:type="dxa"/>
              <w:right w:w="120" w:type="dxa"/>
            </w:tcMar>
          </w:tcPr>
          <w:p>
            <w:pPr>
              <w:spacing w:before="20" w:after="20" w:line="276" w:lineRule="auto"/>
            </w:pPr>
            <w:r/>
            <w:r>
              <w:rPr>
                <w:b/>
                <w:color w:val="1E293B"/>
                <w:sz w:val="19"/>
              </w:rPr>
              <w:t>CCC Internal IT Liaison</w:t>
            </w:r>
          </w:p>
        </w:tc>
        <w:tc>
          <w:tcPr>
            <w:tcW w:type="dxa" w:w="2484"/>
            <w:shd w:val="clear" w:color="auto" w:fill="F8FAFC"/>
            <w:tcMar>
              <w:top w:w="70" w:type="dxa"/>
              <w:bottom w:w="70" w:type="dxa"/>
              <w:left w:w="120" w:type="dxa"/>
              <w:right w:w="120" w:type="dxa"/>
            </w:tcMar>
          </w:tcPr>
          <w:p>
            <w:pPr>
              <w:spacing w:before="20" w:after="20" w:line="276" w:lineRule="auto"/>
            </w:pPr>
            <w:r/>
            <w:r>
              <w:rPr>
                <w:color w:val="1E293B"/>
                <w:sz w:val="19"/>
              </w:rPr>
              <w:t>Submit third-party app intake to OCHIN; verify Old Town Clinic provider NPIs; attend kickoff and handoff reviews; sign off on test connectivity.</w:t>
            </w:r>
          </w:p>
        </w:tc>
        <w:tc>
          <w:tcPr>
            <w:tcW w:type="dxa" w:w="2484"/>
            <w:shd w:val="clear" w:color="auto" w:fill="F8FAFC"/>
            <w:tcMar>
              <w:top w:w="70" w:type="dxa"/>
              <w:bottom w:w="70" w:type="dxa"/>
              <w:left w:w="120" w:type="dxa"/>
              <w:right w:w="120" w:type="dxa"/>
            </w:tcMar>
          </w:tcPr>
          <w:p>
            <w:pPr>
              <w:spacing w:before="20" w:after="20" w:line="276" w:lineRule="auto"/>
            </w:pPr>
            <w:r/>
            <w:r>
              <w:rPr>
                <w:b/>
                <w:color w:val="1E293B"/>
                <w:sz w:val="19"/>
              </w:rPr>
              <w:t>6 to 8 hours</w:t>
            </w:r>
          </w:p>
        </w:tc>
        <w:tc>
          <w:tcPr>
            <w:tcW w:type="dxa" w:w="2484"/>
            <w:shd w:val="clear" w:color="auto" w:fill="F8FAFC"/>
            <w:tcMar>
              <w:top w:w="70" w:type="dxa"/>
              <w:bottom w:w="70" w:type="dxa"/>
              <w:left w:w="120" w:type="dxa"/>
              <w:right w:w="120" w:type="dxa"/>
            </w:tcMar>
          </w:tcPr>
          <w:p>
            <w:pPr>
              <w:spacing w:before="20" w:after="20" w:line="276" w:lineRule="auto"/>
            </w:pPr>
            <w:r/>
            <w:r>
              <w:rPr>
                <w:color w:val="1E293B"/>
                <w:sz w:val="19"/>
              </w:rPr>
              <w:t>~2 hrs in Wks 1–2; then ~30 min bi-weekly</w:t>
            </w:r>
          </w:p>
        </w:tc>
      </w:tr>
      <w:tr>
        <w:tc>
          <w:tcPr>
            <w:tcW w:type="dxa" w:w="2484"/>
            <w:shd w:val="clear" w:color="auto" w:fill="FFFFFF"/>
            <w:tcMar>
              <w:top w:w="70" w:type="dxa"/>
              <w:bottom w:w="70" w:type="dxa"/>
              <w:left w:w="120" w:type="dxa"/>
              <w:right w:w="120" w:type="dxa"/>
            </w:tcMar>
          </w:tcPr>
          <w:p>
            <w:pPr>
              <w:spacing w:before="20" w:after="20" w:line="276" w:lineRule="auto"/>
            </w:pPr>
            <w:r/>
            <w:r>
              <w:rPr>
                <w:b/>
                <w:color w:val="1E293B"/>
                <w:sz w:val="19"/>
              </w:rPr>
              <w:t>Executive Sponsor</w:t>
            </w:r>
          </w:p>
          <w:p>
            <w:pPr>
              <w:spacing w:before="20" w:after="20" w:line="276" w:lineRule="auto"/>
            </w:pPr>
            <w:r>
              <w:rPr>
                <w:i/>
                <w:color w:val="1E293B"/>
                <w:sz w:val="19"/>
              </w:rPr>
              <w:t>(Dr. Andy Mendenhall)</w:t>
            </w:r>
          </w:p>
        </w:tc>
        <w:tc>
          <w:tcPr>
            <w:tcW w:type="dxa" w:w="2484"/>
            <w:shd w:val="clear" w:color="auto" w:fill="FFFFFF"/>
            <w:tcMar>
              <w:top w:w="70" w:type="dxa"/>
              <w:bottom w:w="70" w:type="dxa"/>
              <w:left w:w="120" w:type="dxa"/>
              <w:right w:w="120" w:type="dxa"/>
            </w:tcMar>
          </w:tcPr>
          <w:p>
            <w:pPr>
              <w:spacing w:before="20" w:after="20" w:line="276" w:lineRule="auto"/>
            </w:pPr>
            <w:r/>
            <w:r>
              <w:rPr>
                <w:color w:val="1E293B"/>
                <w:sz w:val="19"/>
              </w:rPr>
              <w:t>Executive kickoff alignment (30 min); final clinical outcome and ROI briefing (1 hr).</w:t>
            </w:r>
          </w:p>
        </w:tc>
        <w:tc>
          <w:tcPr>
            <w:tcW w:type="dxa" w:w="2484"/>
            <w:shd w:val="clear" w:color="auto" w:fill="FFFFFF"/>
            <w:tcMar>
              <w:top w:w="70" w:type="dxa"/>
              <w:bottom w:w="70" w:type="dxa"/>
              <w:left w:w="120" w:type="dxa"/>
              <w:right w:w="120" w:type="dxa"/>
            </w:tcMar>
          </w:tcPr>
          <w:p>
            <w:pPr>
              <w:spacing w:before="20" w:after="20" w:line="276" w:lineRule="auto"/>
            </w:pPr>
            <w:r/>
            <w:r>
              <w:rPr>
                <w:b/>
                <w:color w:val="1E293B"/>
                <w:sz w:val="19"/>
              </w:rPr>
              <w:t>2 hours</w:t>
            </w:r>
          </w:p>
        </w:tc>
        <w:tc>
          <w:tcPr>
            <w:tcW w:type="dxa" w:w="2484"/>
            <w:shd w:val="clear" w:color="auto" w:fill="FFFFFF"/>
            <w:tcMar>
              <w:top w:w="70" w:type="dxa"/>
              <w:bottom w:w="70" w:type="dxa"/>
              <w:left w:w="120" w:type="dxa"/>
              <w:right w:w="120" w:type="dxa"/>
            </w:tcMar>
          </w:tcPr>
          <w:p>
            <w:pPr>
              <w:spacing w:before="20" w:after="20" w:line="276" w:lineRule="auto"/>
            </w:pPr>
            <w:r/>
            <w:r>
              <w:rPr>
                <w:color w:val="1E293B"/>
                <w:sz w:val="19"/>
              </w:rPr>
              <w:t>Month 1 &amp; Month 3 checkpoints</w:t>
            </w:r>
          </w:p>
        </w:tc>
      </w:tr>
      <w:tr>
        <w:tc>
          <w:tcPr>
            <w:tcW w:type="dxa" w:w="2484"/>
            <w:shd w:val="clear" w:color="auto" w:fill="F8FAFC"/>
            <w:tcMar>
              <w:top w:w="70" w:type="dxa"/>
              <w:bottom w:w="70" w:type="dxa"/>
              <w:left w:w="120" w:type="dxa"/>
              <w:right w:w="120" w:type="dxa"/>
            </w:tcMar>
          </w:tcPr>
          <w:p>
            <w:pPr>
              <w:spacing w:before="20" w:after="20" w:line="276" w:lineRule="auto"/>
            </w:pPr>
            <w:r/>
            <w:r>
              <w:rPr>
                <w:b/>
                <w:color w:val="1E293B"/>
                <w:sz w:val="19"/>
              </w:rPr>
              <w:t>Clinical Lead / Champion</w:t>
            </w:r>
          </w:p>
          <w:p>
            <w:pPr>
              <w:spacing w:before="20" w:after="20" w:line="276" w:lineRule="auto"/>
            </w:pPr>
            <w:r>
              <w:rPr>
                <w:i/>
                <w:color w:val="1E293B"/>
                <w:sz w:val="19"/>
              </w:rPr>
              <w:t>(Dr. Joseph Siemienczuk + CCC Lead)</w:t>
            </w:r>
          </w:p>
        </w:tc>
        <w:tc>
          <w:tcPr>
            <w:tcW w:type="dxa" w:w="2484"/>
            <w:shd w:val="clear" w:color="auto" w:fill="F8FAFC"/>
            <w:tcMar>
              <w:top w:w="70" w:type="dxa"/>
              <w:bottom w:w="70" w:type="dxa"/>
              <w:left w:w="120" w:type="dxa"/>
              <w:right w:w="120" w:type="dxa"/>
            </w:tcMar>
          </w:tcPr>
          <w:p>
            <w:pPr>
              <w:spacing w:before="20" w:after="20" w:line="276" w:lineRule="auto"/>
            </w:pPr>
            <w:r/>
            <w:r>
              <w:rPr>
                <w:color w:val="1E293B"/>
                <w:sz w:val="19"/>
              </w:rPr>
              <w:t>Review baseline simulation assumptions, confirm Lunch Firewall parameters, participate in calibration check-ins.</w:t>
            </w:r>
          </w:p>
        </w:tc>
        <w:tc>
          <w:tcPr>
            <w:tcW w:type="dxa" w:w="2484"/>
            <w:shd w:val="clear" w:color="auto" w:fill="F8FAFC"/>
            <w:tcMar>
              <w:top w:w="70" w:type="dxa"/>
              <w:bottom w:w="70" w:type="dxa"/>
              <w:left w:w="120" w:type="dxa"/>
              <w:right w:w="120" w:type="dxa"/>
            </w:tcMar>
          </w:tcPr>
          <w:p>
            <w:pPr>
              <w:spacing w:before="20" w:after="20" w:line="276" w:lineRule="auto"/>
            </w:pPr>
            <w:r/>
            <w:r>
              <w:rPr>
                <w:b/>
                <w:color w:val="1E293B"/>
                <w:sz w:val="19"/>
              </w:rPr>
              <w:t>4 to 6 hours</w:t>
            </w:r>
          </w:p>
        </w:tc>
        <w:tc>
          <w:tcPr>
            <w:tcW w:type="dxa" w:w="2484"/>
            <w:shd w:val="clear" w:color="auto" w:fill="F8FAFC"/>
            <w:tcMar>
              <w:top w:w="70" w:type="dxa"/>
              <w:bottom w:w="70" w:type="dxa"/>
              <w:left w:w="120" w:type="dxa"/>
              <w:right w:w="120" w:type="dxa"/>
            </w:tcMar>
          </w:tcPr>
          <w:p>
            <w:pPr>
              <w:spacing w:before="20" w:after="20" w:line="276" w:lineRule="auto"/>
            </w:pPr>
            <w:r/>
            <w:r>
              <w:rPr>
                <w:color w:val="1E293B"/>
                <w:sz w:val="19"/>
              </w:rPr>
              <w:t>~30 min every two weeks</w:t>
            </w:r>
          </w:p>
        </w:tc>
      </w:tr>
      <w:tr>
        <w:tc>
          <w:tcPr>
            <w:tcW w:type="dxa" w:w="2484"/>
            <w:shd w:val="clear" w:color="auto" w:fill="FFFFFF"/>
            <w:tcMar>
              <w:top w:w="70" w:type="dxa"/>
              <w:bottom w:w="70" w:type="dxa"/>
              <w:left w:w="120" w:type="dxa"/>
              <w:right w:w="120" w:type="dxa"/>
            </w:tcMar>
          </w:tcPr>
          <w:p>
            <w:pPr>
              <w:spacing w:before="20" w:after="20" w:line="276" w:lineRule="auto"/>
            </w:pPr>
            <w:r/>
            <w:r>
              <w:rPr>
                <w:b/>
                <w:color w:val="1E293B"/>
                <w:sz w:val="19"/>
              </w:rPr>
              <w:t>Practice Manager</w:t>
            </w:r>
          </w:p>
          <w:p>
            <w:pPr>
              <w:spacing w:before="20" w:after="20" w:line="276" w:lineRule="auto"/>
            </w:pPr>
            <w:r>
              <w:rPr>
                <w:i/>
                <w:color w:val="1E293B"/>
                <w:sz w:val="19"/>
              </w:rPr>
              <w:t>(Old Town Clinic)</w:t>
            </w:r>
          </w:p>
        </w:tc>
        <w:tc>
          <w:tcPr>
            <w:tcW w:type="dxa" w:w="2484"/>
            <w:shd w:val="clear" w:color="auto" w:fill="FFFFFF"/>
            <w:tcMar>
              <w:top w:w="70" w:type="dxa"/>
              <w:bottom w:w="70" w:type="dxa"/>
              <w:left w:w="120" w:type="dxa"/>
              <w:right w:w="120" w:type="dxa"/>
            </w:tcMar>
          </w:tcPr>
          <w:p>
            <w:pPr>
              <w:spacing w:before="20" w:after="20" w:line="276" w:lineRule="auto"/>
            </w:pPr>
            <w:r/>
            <w:r>
              <w:rPr>
                <w:color w:val="1E293B"/>
                <w:sz w:val="19"/>
              </w:rPr>
              <w:t>Validate provider scheduling templates, review weekly recommendations, provide workflow feedback.</w:t>
            </w:r>
          </w:p>
        </w:tc>
        <w:tc>
          <w:tcPr>
            <w:tcW w:type="dxa" w:w="2484"/>
            <w:shd w:val="clear" w:color="auto" w:fill="FFFFFF"/>
            <w:tcMar>
              <w:top w:w="70" w:type="dxa"/>
              <w:bottom w:w="70" w:type="dxa"/>
              <w:left w:w="120" w:type="dxa"/>
              <w:right w:w="120" w:type="dxa"/>
            </w:tcMar>
          </w:tcPr>
          <w:p>
            <w:pPr>
              <w:spacing w:before="20" w:after="20" w:line="276" w:lineRule="auto"/>
            </w:pPr>
            <w:r/>
            <w:r>
              <w:rPr>
                <w:b/>
                <w:color w:val="1E293B"/>
                <w:sz w:val="19"/>
              </w:rPr>
              <w:t>8 to 10 hours</w:t>
            </w:r>
          </w:p>
        </w:tc>
        <w:tc>
          <w:tcPr>
            <w:tcW w:type="dxa" w:w="2484"/>
            <w:shd w:val="clear" w:color="auto" w:fill="FFFFFF"/>
            <w:tcMar>
              <w:top w:w="70" w:type="dxa"/>
              <w:bottom w:w="70" w:type="dxa"/>
              <w:left w:w="120" w:type="dxa"/>
              <w:right w:w="120" w:type="dxa"/>
            </w:tcMar>
          </w:tcPr>
          <w:p>
            <w:pPr>
              <w:spacing w:before="20" w:after="20" w:line="276" w:lineRule="auto"/>
            </w:pPr>
            <w:r/>
            <w:r>
              <w:rPr>
                <w:color w:val="1E293B"/>
                <w:sz w:val="19"/>
              </w:rPr>
              <w:t>~45 min / week</w:t>
            </w:r>
          </w:p>
        </w:tc>
      </w:tr>
      <w:tr>
        <w:tc>
          <w:tcPr>
            <w:tcW w:type="dxa" w:w="2484"/>
            <w:shd w:val="clear" w:color="auto" w:fill="F8FAFC"/>
            <w:tcMar>
              <w:top w:w="70" w:type="dxa"/>
              <w:bottom w:w="70" w:type="dxa"/>
              <w:left w:w="120" w:type="dxa"/>
              <w:right w:w="120" w:type="dxa"/>
            </w:tcMar>
          </w:tcPr>
          <w:p>
            <w:pPr>
              <w:spacing w:before="20" w:after="20" w:line="276" w:lineRule="auto"/>
            </w:pPr>
            <w:r/>
            <w:r>
              <w:rPr>
                <w:b/>
                <w:color w:val="1E293B"/>
                <w:sz w:val="19"/>
              </w:rPr>
              <w:t>Volunteer Providers (2–3 MDs)</w:t>
            </w:r>
          </w:p>
        </w:tc>
        <w:tc>
          <w:tcPr>
            <w:tcW w:type="dxa" w:w="2484"/>
            <w:shd w:val="clear" w:color="auto" w:fill="F8FAFC"/>
            <w:tcMar>
              <w:top w:w="70" w:type="dxa"/>
              <w:bottom w:w="70" w:type="dxa"/>
              <w:left w:w="120" w:type="dxa"/>
              <w:right w:w="120" w:type="dxa"/>
            </w:tcMar>
          </w:tcPr>
          <w:p>
            <w:pPr>
              <w:spacing w:before="20" w:after="20" w:line="276" w:lineRule="auto"/>
            </w:pPr>
            <w:r/>
            <w:r>
              <w:rPr>
                <w:color w:val="1E293B"/>
                <w:sz w:val="19"/>
              </w:rPr>
              <w:t>Review recommended appointment blocks during normal clinic prep; bi-weekly 15-min touchpoint.</w:t>
            </w:r>
          </w:p>
        </w:tc>
        <w:tc>
          <w:tcPr>
            <w:tcW w:type="dxa" w:w="2484"/>
            <w:shd w:val="clear" w:color="auto" w:fill="F8FAFC"/>
            <w:tcMar>
              <w:top w:w="70" w:type="dxa"/>
              <w:bottom w:w="70" w:type="dxa"/>
              <w:left w:w="120" w:type="dxa"/>
              <w:right w:w="120" w:type="dxa"/>
            </w:tcMar>
          </w:tcPr>
          <w:p>
            <w:pPr>
              <w:spacing w:before="20" w:after="20" w:line="276" w:lineRule="auto"/>
            </w:pPr>
            <w:r/>
            <w:r>
              <w:rPr>
                <w:b/>
                <w:color w:val="1E293B"/>
                <w:sz w:val="19"/>
              </w:rPr>
              <w:t>3 hours / provider</w:t>
            </w:r>
          </w:p>
        </w:tc>
        <w:tc>
          <w:tcPr>
            <w:tcW w:type="dxa" w:w="2484"/>
            <w:shd w:val="clear" w:color="auto" w:fill="F8FAFC"/>
            <w:tcMar>
              <w:top w:w="70" w:type="dxa"/>
              <w:bottom w:w="70" w:type="dxa"/>
              <w:left w:w="120" w:type="dxa"/>
              <w:right w:w="120" w:type="dxa"/>
            </w:tcMar>
          </w:tcPr>
          <w:p>
            <w:pPr>
              <w:spacing w:before="20" w:after="20" w:line="276" w:lineRule="auto"/>
            </w:pPr>
            <w:r/>
            <w:r>
              <w:rPr>
                <w:color w:val="1E293B"/>
                <w:sz w:val="19"/>
              </w:rPr>
              <w:t>~15 min every two weeks (Zero evening charting time)</w:t>
            </w:r>
          </w:p>
        </w:tc>
      </w:tr>
    </w:tbl>
    <w:p>
      <w:pPr>
        <w:spacing w:before="0" w:after="80"/>
      </w:pPr>
    </w:p>
    <w:p>
      <w:pPr>
        <w:spacing w:before="200" w:after="60"/>
      </w:pPr>
      <w:r>
        <w:rPr>
          <w:rFonts w:ascii="Calibri" w:hAnsi="Calibri"/>
          <w:b/>
          <w:color w:val="0F172A"/>
          <w:sz w:val="24"/>
        </w:rPr>
        <w:t>B. External EHR Hosting Partner (OCHIN Technical Operations)</w:t>
      </w:r>
    </w:p>
    <w:tbl>
      <w:tblPr>
        <w:tblW w:type="auto" w:w="0"/>
        <w:jc w:val="center"/>
        <w:tblLayout w:type="autofit"/>
        <w:tblLook w:firstColumn="1" w:firstRow="1" w:lastColumn="0" w:lastRow="0" w:noHBand="0" w:noVBand="1" w:val="04A0"/>
      </w:tblPr>
      <w:tblGrid>
        <w:gridCol w:w="3312"/>
        <w:gridCol w:w="3312"/>
        <w:gridCol w:w="3312"/>
      </w:tblGrid>
      <w:tr>
        <w:tc>
          <w:tcPr>
            <w:tcW w:type="dxa" w:w="3312"/>
            <w:shd w:val="clear" w:color="auto" w:fill="0F172A"/>
            <w:tcMar>
              <w:top w:w="100" w:type="dxa"/>
              <w:bottom w:w="100" w:type="dxa"/>
              <w:left w:w="120" w:type="dxa"/>
              <w:right w:w="120" w:type="dxa"/>
            </w:tcMar>
          </w:tcPr>
          <w:p>
            <w:pPr>
              <w:spacing w:before="20" w:after="20" w:line="276" w:lineRule="auto"/>
            </w:pPr>
            <w:r/>
            <w:r>
              <w:rPr>
                <w:b/>
                <w:color w:val="FFFFFF"/>
                <w:sz w:val="20"/>
              </w:rPr>
              <w:t>Technical Milestone</w:t>
            </w:r>
          </w:p>
        </w:tc>
        <w:tc>
          <w:tcPr>
            <w:tcW w:type="dxa" w:w="3312"/>
            <w:shd w:val="clear" w:color="auto" w:fill="0F172A"/>
            <w:tcMar>
              <w:top w:w="100" w:type="dxa"/>
              <w:bottom w:w="100" w:type="dxa"/>
              <w:left w:w="120" w:type="dxa"/>
              <w:right w:w="120" w:type="dxa"/>
            </w:tcMar>
          </w:tcPr>
          <w:p>
            <w:pPr>
              <w:spacing w:before="20" w:after="20" w:line="276" w:lineRule="auto"/>
            </w:pPr>
            <w:r/>
            <w:r>
              <w:rPr>
                <w:b/>
                <w:color w:val="FFFFFF"/>
                <w:sz w:val="20"/>
              </w:rPr>
              <w:t>Specific OCHIN Interface Engineering Activities</w:t>
            </w:r>
          </w:p>
        </w:tc>
        <w:tc>
          <w:tcPr>
            <w:tcW w:type="dxa" w:w="3312"/>
            <w:shd w:val="clear" w:color="auto" w:fill="0F172A"/>
            <w:tcMar>
              <w:top w:w="100" w:type="dxa"/>
              <w:bottom w:w="100" w:type="dxa"/>
              <w:left w:w="120" w:type="dxa"/>
              <w:right w:w="120" w:type="dxa"/>
            </w:tcMar>
          </w:tcPr>
          <w:p>
            <w:pPr>
              <w:spacing w:before="20" w:after="20" w:line="276" w:lineRule="auto"/>
            </w:pPr>
            <w:r/>
            <w:r>
              <w:rPr>
                <w:b/>
                <w:color w:val="FFFFFF"/>
                <w:sz w:val="20"/>
              </w:rPr>
              <w:t>Estimated Hours</w:t>
            </w:r>
          </w:p>
        </w:tc>
      </w:tr>
      <w:tr>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App Registration &amp; Scoping</w:t>
            </w:r>
          </w:p>
        </w:tc>
        <w:tc>
          <w:tcPr>
            <w:tcW w:type="dxa" w:w="3312"/>
            <w:shd w:val="clear" w:color="auto" w:fill="F8FAFC"/>
            <w:tcMar>
              <w:top w:w="70" w:type="dxa"/>
              <w:bottom w:w="70" w:type="dxa"/>
              <w:left w:w="120" w:type="dxa"/>
              <w:right w:w="120" w:type="dxa"/>
            </w:tcMar>
          </w:tcPr>
          <w:p>
            <w:pPr>
              <w:spacing w:before="20" w:after="20" w:line="276" w:lineRule="auto"/>
            </w:pPr>
            <w:r/>
            <w:r>
              <w:rPr>
                <w:color w:val="1E293B"/>
                <w:sz w:val="19"/>
              </w:rPr>
              <w:t>Register Kvann Flow client ID in OCHIN Interconnect gateway; assign read-only scopes (`Appointment.read`, `Schedule.read`, `Slot.read`).</w:t>
            </w:r>
          </w:p>
        </w:tc>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4 to 6 hours</w:t>
            </w:r>
          </w:p>
        </w:tc>
      </w:tr>
      <w:tr>
        <w:tc>
          <w:tcPr>
            <w:tcW w:type="dxa" w:w="3312"/>
            <w:shd w:val="clear" w:color="auto" w:fill="FFFFFF"/>
            <w:tcMar>
              <w:top w:w="70" w:type="dxa"/>
              <w:bottom w:w="70" w:type="dxa"/>
              <w:left w:w="120" w:type="dxa"/>
              <w:right w:w="120" w:type="dxa"/>
            </w:tcMar>
          </w:tcPr>
          <w:p>
            <w:pPr>
              <w:spacing w:before="20" w:after="20" w:line="276" w:lineRule="auto"/>
            </w:pPr>
            <w:r/>
            <w:r>
              <w:rPr>
                <w:b/>
                <w:color w:val="1E293B"/>
                <w:sz w:val="19"/>
              </w:rPr>
              <w:t>Authentication &amp; JWKS Binding</w:t>
            </w:r>
          </w:p>
        </w:tc>
        <w:tc>
          <w:tcPr>
            <w:tcW w:type="dxa" w:w="3312"/>
            <w:shd w:val="clear" w:color="auto" w:fill="FFFFFF"/>
            <w:tcMar>
              <w:top w:w="70" w:type="dxa"/>
              <w:bottom w:w="70" w:type="dxa"/>
              <w:left w:w="120" w:type="dxa"/>
              <w:right w:w="120" w:type="dxa"/>
            </w:tcMar>
          </w:tcPr>
          <w:p>
            <w:pPr>
              <w:spacing w:before="20" w:after="20" w:line="276" w:lineRule="auto"/>
            </w:pPr>
            <w:r/>
            <w:r>
              <w:rPr>
                <w:color w:val="1E293B"/>
                <w:sz w:val="19"/>
              </w:rPr>
              <w:t>Validate asymmetric RSA public key against Kvann's hosted JWKS URI; configure tenant token endpoint.</w:t>
            </w:r>
          </w:p>
        </w:tc>
        <w:tc>
          <w:tcPr>
            <w:tcW w:type="dxa" w:w="3312"/>
            <w:shd w:val="clear" w:color="auto" w:fill="FFFFFF"/>
            <w:tcMar>
              <w:top w:w="70" w:type="dxa"/>
              <w:bottom w:w="70" w:type="dxa"/>
              <w:left w:w="120" w:type="dxa"/>
              <w:right w:w="120" w:type="dxa"/>
            </w:tcMar>
          </w:tcPr>
          <w:p>
            <w:pPr>
              <w:spacing w:before="20" w:after="20" w:line="276" w:lineRule="auto"/>
            </w:pPr>
            <w:r/>
            <w:r>
              <w:rPr>
                <w:b/>
                <w:color w:val="1E293B"/>
                <w:sz w:val="19"/>
              </w:rPr>
              <w:t>3 to 4 hours</w:t>
            </w:r>
          </w:p>
        </w:tc>
      </w:tr>
      <w:tr>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Non-Production Testing</w:t>
            </w:r>
          </w:p>
        </w:tc>
        <w:tc>
          <w:tcPr>
            <w:tcW w:type="dxa" w:w="3312"/>
            <w:shd w:val="clear" w:color="auto" w:fill="F8FAFC"/>
            <w:tcMar>
              <w:top w:w="70" w:type="dxa"/>
              <w:bottom w:w="70" w:type="dxa"/>
              <w:left w:w="120" w:type="dxa"/>
              <w:right w:w="120" w:type="dxa"/>
            </w:tcMar>
          </w:tcPr>
          <w:p>
            <w:pPr>
              <w:spacing w:before="20" w:after="20" w:line="276" w:lineRule="auto"/>
            </w:pPr>
            <w:r/>
            <w:r>
              <w:rPr>
                <w:color w:val="1E293B"/>
                <w:sz w:val="19"/>
              </w:rPr>
              <w:t>Verify sandbox connectivity with CCC test tenant; confirm zero-write-back boundary.</w:t>
            </w:r>
          </w:p>
        </w:tc>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2 to 3 hours</w:t>
            </w:r>
          </w:p>
        </w:tc>
      </w:tr>
      <w:tr>
        <w:tc>
          <w:tcPr>
            <w:tcW w:type="dxa" w:w="3312"/>
            <w:shd w:val="clear" w:color="auto" w:fill="FFFFFF"/>
            <w:tcMar>
              <w:top w:w="70" w:type="dxa"/>
              <w:bottom w:w="70" w:type="dxa"/>
              <w:left w:w="120" w:type="dxa"/>
              <w:right w:w="120" w:type="dxa"/>
            </w:tcMar>
          </w:tcPr>
          <w:p>
            <w:pPr>
              <w:spacing w:before="20" w:after="20" w:line="276" w:lineRule="auto"/>
            </w:pPr>
            <w:r/>
            <w:r>
              <w:rPr>
                <w:b/>
                <w:color w:val="1E293B"/>
                <w:sz w:val="19"/>
              </w:rPr>
              <w:t>Production Promotion Sign-off</w:t>
            </w:r>
          </w:p>
        </w:tc>
        <w:tc>
          <w:tcPr>
            <w:tcW w:type="dxa" w:w="3312"/>
            <w:shd w:val="clear" w:color="auto" w:fill="FFFFFF"/>
            <w:tcMar>
              <w:top w:w="70" w:type="dxa"/>
              <w:bottom w:w="70" w:type="dxa"/>
              <w:left w:w="120" w:type="dxa"/>
              <w:right w:w="120" w:type="dxa"/>
            </w:tcMar>
          </w:tcPr>
          <w:p>
            <w:pPr>
              <w:spacing w:before="20" w:after="20" w:line="276" w:lineRule="auto"/>
            </w:pPr>
            <w:r/>
            <w:r>
              <w:rPr>
                <w:color w:val="1E293B"/>
                <w:sz w:val="19"/>
              </w:rPr>
              <w:t>Enable read-only traffic for Old Town Clinic pilot providers; issue production endpoint URI.</w:t>
            </w:r>
          </w:p>
        </w:tc>
        <w:tc>
          <w:tcPr>
            <w:tcW w:type="dxa" w:w="3312"/>
            <w:shd w:val="clear" w:color="auto" w:fill="FFFFFF"/>
            <w:tcMar>
              <w:top w:w="70" w:type="dxa"/>
              <w:bottom w:w="70" w:type="dxa"/>
              <w:left w:w="120" w:type="dxa"/>
              <w:right w:w="120" w:type="dxa"/>
            </w:tcMar>
          </w:tcPr>
          <w:p>
            <w:pPr>
              <w:spacing w:before="20" w:after="20" w:line="276" w:lineRule="auto"/>
            </w:pPr>
            <w:r/>
            <w:r>
              <w:rPr>
                <w:b/>
                <w:color w:val="1E293B"/>
                <w:sz w:val="19"/>
              </w:rPr>
              <w:t>1 to 2 hours</w:t>
            </w:r>
          </w:p>
        </w:tc>
      </w:tr>
      <w:tr>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TOTAL OCHIN COMMITMENT</w:t>
            </w:r>
          </w:p>
        </w:tc>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Standardized SMART-on-FHIR App Onboarding Lifecycle</w:t>
            </w:r>
          </w:p>
        </w:tc>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10 to 14 Hours</w:t>
            </w:r>
          </w:p>
        </w:tc>
      </w:tr>
    </w:tbl>
    <w:p>
      <w:pPr>
        <w:spacing w:before="0" w:after="80"/>
      </w:pPr>
    </w:p>
    <w:p>
      <w:pPr>
        <w:spacing w:before="60" w:after="80"/>
      </w:pPr>
      <w:r>
        <w:rPr>
          <w:i/>
          <w:color w:val="1E293B"/>
          <w:sz w:val="21"/>
        </w:rPr>
        <w:t>Note on Governance:</w:t>
      </w:r>
      <w:r>
        <w:rPr>
          <w:color w:val="1E293B"/>
          <w:sz w:val="21"/>
        </w:rPr>
        <w:t xml:space="preserve"> Business Associate Agreement (BAA) execution and organizational change-control review are administrative/compliance milestones conducted during pre-kickoff and are not charged against clinical IT hours.</w:t>
      </w:r>
    </w:p>
    <w:p>
      <w:pPr>
        <w:spacing w:before="280" w:after="80"/>
      </w:pPr>
      <w:r>
        <w:rPr>
          <w:rFonts w:ascii="Calibri" w:hAnsi="Calibri"/>
          <w:b/>
          <w:color w:val="0D9488"/>
          <w:sz w:val="30"/>
        </w:rPr>
        <w:t>5. Security Posture, Epic Backend Services &amp; JWKS Architecture</w:t>
      </w:r>
    </w:p>
    <w:p>
      <w:pPr>
        <w:spacing w:before="60" w:after="80"/>
      </w:pPr>
      <w:r>
        <w:rPr>
          <w:color w:val="1E293B"/>
          <w:sz w:val="21"/>
        </w:rPr>
        <w:t>Hospital CIOs and technical directors require absolute certainty regarding system security and infrastructure boundaries. KVANN operates under three strict architectural safeguards:</w:t>
      </w:r>
    </w:p>
    <w:tbl>
      <w:tblPr>
        <w:tblW w:type="auto" w:w="0"/>
        <w:jc w:val="center"/>
        <w:tblLayout w:type="autofit"/>
        <w:tblLook w:firstColumn="1" w:firstRow="1" w:lastColumn="0" w:lastRow="0" w:noHBand="0" w:noVBand="1" w:val="04A0"/>
      </w:tblPr>
      <w:tblGrid>
        <w:gridCol w:w="3312"/>
        <w:gridCol w:w="3312"/>
        <w:gridCol w:w="3312"/>
      </w:tblGrid>
      <w:tr>
        <w:tc>
          <w:tcPr>
            <w:tcW w:type="dxa" w:w="3312"/>
            <w:shd w:val="clear" w:color="auto" w:fill="0F172A"/>
            <w:tcMar>
              <w:top w:w="100" w:type="dxa"/>
              <w:bottom w:w="100" w:type="dxa"/>
              <w:left w:w="120" w:type="dxa"/>
              <w:right w:w="120" w:type="dxa"/>
            </w:tcMar>
          </w:tcPr>
          <w:p>
            <w:pPr>
              <w:spacing w:before="20" w:after="20" w:line="276" w:lineRule="auto"/>
            </w:pPr>
            <w:r/>
            <w:r>
              <w:rPr>
                <w:b/>
                <w:color w:val="FFFFFF"/>
                <w:sz w:val="20"/>
              </w:rPr>
              <w:t>Security Pillar</w:t>
            </w:r>
          </w:p>
        </w:tc>
        <w:tc>
          <w:tcPr>
            <w:tcW w:type="dxa" w:w="3312"/>
            <w:shd w:val="clear" w:color="auto" w:fill="0F172A"/>
            <w:tcMar>
              <w:top w:w="100" w:type="dxa"/>
              <w:bottom w:w="100" w:type="dxa"/>
              <w:left w:w="120" w:type="dxa"/>
              <w:right w:w="120" w:type="dxa"/>
            </w:tcMar>
          </w:tcPr>
          <w:p>
            <w:pPr>
              <w:spacing w:before="20" w:after="20" w:line="276" w:lineRule="auto"/>
            </w:pPr>
            <w:r/>
            <w:r>
              <w:rPr>
                <w:b/>
                <w:color w:val="FFFFFF"/>
                <w:sz w:val="20"/>
              </w:rPr>
              <w:t>Architectural Implementation</w:t>
            </w:r>
          </w:p>
        </w:tc>
        <w:tc>
          <w:tcPr>
            <w:tcW w:type="dxa" w:w="3312"/>
            <w:shd w:val="clear" w:color="auto" w:fill="0F172A"/>
            <w:tcMar>
              <w:top w:w="100" w:type="dxa"/>
              <w:bottom w:w="100" w:type="dxa"/>
              <w:left w:w="120" w:type="dxa"/>
              <w:right w:w="120" w:type="dxa"/>
            </w:tcMar>
          </w:tcPr>
          <w:p>
            <w:pPr>
              <w:spacing w:before="20" w:after="20" w:line="276" w:lineRule="auto"/>
            </w:pPr>
            <w:r/>
            <w:r>
              <w:rPr>
                <w:b/>
                <w:color w:val="FFFFFF"/>
                <w:sz w:val="20"/>
              </w:rPr>
              <w:t>Clinical &amp; CIO Guarantee</w:t>
            </w:r>
          </w:p>
        </w:tc>
      </w:tr>
      <w:tr>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1. Asymmetric Cryptography (RFC 7523)</w:t>
            </w:r>
          </w:p>
        </w:tc>
        <w:tc>
          <w:tcPr>
            <w:tcW w:type="dxa" w:w="3312"/>
            <w:shd w:val="clear" w:color="auto" w:fill="F8FAFC"/>
            <w:tcMar>
              <w:top w:w="70" w:type="dxa"/>
              <w:bottom w:w="70" w:type="dxa"/>
              <w:left w:w="120" w:type="dxa"/>
              <w:right w:w="120" w:type="dxa"/>
            </w:tcMar>
          </w:tcPr>
          <w:p>
            <w:pPr>
              <w:spacing w:before="20" w:after="20" w:line="276" w:lineRule="auto"/>
            </w:pPr>
            <w:r/>
            <w:r>
              <w:rPr>
                <w:color w:val="1E293B"/>
                <w:sz w:val="19"/>
              </w:rPr>
              <w:t>Authenticates via private-key JWT assertion verified against KVANN's public JWKS endpoint.</w:t>
            </w:r>
          </w:p>
        </w:tc>
        <w:tc>
          <w:tcPr>
            <w:tcW w:type="dxa" w:w="3312"/>
            <w:shd w:val="clear" w:color="auto" w:fill="F8FAFC"/>
            <w:tcMar>
              <w:top w:w="70" w:type="dxa"/>
              <w:bottom w:w="70" w:type="dxa"/>
              <w:left w:w="120" w:type="dxa"/>
              <w:right w:w="120" w:type="dxa"/>
            </w:tcMar>
          </w:tcPr>
          <w:p>
            <w:pPr>
              <w:spacing w:before="20" w:after="20" w:line="276" w:lineRule="auto"/>
            </w:pPr>
            <w:r/>
            <w:r>
              <w:rPr>
                <w:color w:val="1E293B"/>
                <w:sz w:val="19"/>
              </w:rPr>
              <w:t>Zero shared static passwords or API tokens stored on client servers.</w:t>
            </w:r>
          </w:p>
        </w:tc>
      </w:tr>
      <w:tr>
        <w:tc>
          <w:tcPr>
            <w:tcW w:type="dxa" w:w="3312"/>
            <w:shd w:val="clear" w:color="auto" w:fill="FFFFFF"/>
            <w:tcMar>
              <w:top w:w="70" w:type="dxa"/>
              <w:bottom w:w="70" w:type="dxa"/>
              <w:left w:w="120" w:type="dxa"/>
              <w:right w:w="120" w:type="dxa"/>
            </w:tcMar>
          </w:tcPr>
          <w:p>
            <w:pPr>
              <w:spacing w:before="20" w:after="20" w:line="276" w:lineRule="auto"/>
            </w:pPr>
            <w:r/>
            <w:r>
              <w:rPr>
                <w:b/>
                <w:color w:val="1E293B"/>
                <w:sz w:val="19"/>
              </w:rPr>
              <w:t>2. Scoped Read-Only Access</w:t>
            </w:r>
          </w:p>
        </w:tc>
        <w:tc>
          <w:tcPr>
            <w:tcW w:type="dxa" w:w="3312"/>
            <w:shd w:val="clear" w:color="auto" w:fill="FFFFFF"/>
            <w:tcMar>
              <w:top w:w="70" w:type="dxa"/>
              <w:bottom w:w="70" w:type="dxa"/>
              <w:left w:w="120" w:type="dxa"/>
              <w:right w:w="120" w:type="dxa"/>
            </w:tcMar>
          </w:tcPr>
          <w:p>
            <w:pPr>
              <w:spacing w:before="20" w:after="20" w:line="276" w:lineRule="auto"/>
            </w:pPr>
            <w:r/>
            <w:r>
              <w:rPr>
                <w:color w:val="1E293B"/>
                <w:sz w:val="19"/>
              </w:rPr>
              <w:t>Strictly limited to `system/Appointment.read`, `system/Schedule.read`, `system/Slot.read`.</w:t>
            </w:r>
          </w:p>
        </w:tc>
        <w:tc>
          <w:tcPr>
            <w:tcW w:type="dxa" w:w="3312"/>
            <w:shd w:val="clear" w:color="auto" w:fill="FFFFFF"/>
            <w:tcMar>
              <w:top w:w="70" w:type="dxa"/>
              <w:bottom w:w="70" w:type="dxa"/>
              <w:left w:w="120" w:type="dxa"/>
              <w:right w:w="120" w:type="dxa"/>
            </w:tcMar>
          </w:tcPr>
          <w:p>
            <w:pPr>
              <w:spacing w:before="20" w:after="20" w:line="276" w:lineRule="auto"/>
            </w:pPr>
            <w:r/>
            <w:r>
              <w:rPr>
                <w:color w:val="1E293B"/>
                <w:sz w:val="19"/>
              </w:rPr>
              <w:t>Medical charts, progress notes, labs, and billing are 100% inaccessible.</w:t>
            </w:r>
          </w:p>
        </w:tc>
      </w:tr>
      <w:tr>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3. One-Hour Removal Guarantee</w:t>
            </w:r>
          </w:p>
        </w:tc>
        <w:tc>
          <w:tcPr>
            <w:tcW w:type="dxa" w:w="3312"/>
            <w:shd w:val="clear" w:color="auto" w:fill="F8FAFC"/>
            <w:tcMar>
              <w:top w:w="70" w:type="dxa"/>
              <w:bottom w:w="70" w:type="dxa"/>
              <w:left w:w="120" w:type="dxa"/>
              <w:right w:w="120" w:type="dxa"/>
            </w:tcMar>
          </w:tcPr>
          <w:p>
            <w:pPr>
              <w:spacing w:before="20" w:after="20" w:line="276" w:lineRule="auto"/>
            </w:pPr>
            <w:r/>
            <w:r>
              <w:rPr>
                <w:color w:val="1E293B"/>
                <w:sz w:val="19"/>
              </w:rPr>
              <w:t>Client credential revocation instantly terminates all data polling.</w:t>
            </w:r>
          </w:p>
        </w:tc>
        <w:tc>
          <w:tcPr>
            <w:tcW w:type="dxa" w:w="3312"/>
            <w:shd w:val="clear" w:color="auto" w:fill="F8FAFC"/>
            <w:tcMar>
              <w:top w:w="70" w:type="dxa"/>
              <w:bottom w:w="70" w:type="dxa"/>
              <w:left w:w="120" w:type="dxa"/>
              <w:right w:w="120" w:type="dxa"/>
            </w:tcMar>
          </w:tcPr>
          <w:p>
            <w:pPr>
              <w:spacing w:before="20" w:after="20" w:line="276" w:lineRule="auto"/>
            </w:pPr>
            <w:r/>
            <w:r>
              <w:rPr>
                <w:color w:val="1E293B"/>
                <w:sz w:val="19"/>
              </w:rPr>
              <w:t>Zero agents, zero background daemons, zero persistent software footprint.</w:t>
            </w:r>
          </w:p>
        </w:tc>
      </w:tr>
    </w:tbl>
    <w:p>
      <w:pPr>
        <w:spacing w:before="0" w:after="80"/>
      </w:pPr>
    </w:p>
    <w:p>
      <w:pPr>
        <w:spacing w:before="60" w:after="80"/>
      </w:pPr>
      <w:r>
        <w:rPr>
          <w:color w:val="1E293B"/>
          <w:sz w:val="21"/>
        </w:rPr>
        <w:t xml:space="preserve">1. </w:t>
      </w:r>
      <w:r>
        <w:rPr>
          <w:b/>
          <w:color w:val="1E293B"/>
          <w:sz w:val="21"/>
        </w:rPr>
        <w:t>The Iron Rule of Read-Only Scoping:</w:t>
      </w:r>
    </w:p>
    <w:p>
      <w:pPr>
        <w:spacing w:before="60" w:after="80"/>
      </w:pPr>
      <w:r>
        <w:rPr>
          <w:color w:val="1E293B"/>
          <w:sz w:val="21"/>
        </w:rPr>
        <w:t xml:space="preserve">Automated access is </w:t>
      </w:r>
      <w:r>
        <w:rPr>
          <w:b/>
          <w:color w:val="1E293B"/>
          <w:sz w:val="21"/>
        </w:rPr>
        <w:t>strictly confined to read-only calendar resources</w:t>
      </w:r>
      <w:r>
        <w:rPr>
          <w:color w:val="1E293B"/>
          <w:sz w:val="21"/>
        </w:rPr>
        <w:t xml:space="preserve"> (`Appointment`, `Schedule`, `Slot`). Clinical charts, progress notes, lab results, and billing codes are </w:t>
      </w:r>
      <w:r>
        <w:rPr>
          <w:b/>
          <w:color w:val="1E293B"/>
          <w:sz w:val="21"/>
        </w:rPr>
        <w:t>100% read-only and mathematically inaccessible</w:t>
      </w:r>
      <w:r>
        <w:rPr>
          <w:color w:val="1E293B"/>
          <w:sz w:val="21"/>
        </w:rPr>
        <w:t>.</w:t>
      </w:r>
    </w:p>
    <w:p>
      <w:pPr>
        <w:spacing w:before="60" w:after="80"/>
      </w:pPr>
      <w:r>
        <w:rPr>
          <w:color w:val="1E293B"/>
          <w:sz w:val="21"/>
        </w:rPr>
        <w:t xml:space="preserve">2. </w:t>
      </w:r>
      <w:r>
        <w:rPr>
          <w:b/>
          <w:color w:val="1E293B"/>
          <w:sz w:val="21"/>
        </w:rPr>
        <w:t>Asymmetric Key Security (Zero Shared Passwords):</w:t>
      </w:r>
    </w:p>
    <w:p>
      <w:pPr>
        <w:spacing w:before="60" w:after="80"/>
      </w:pPr>
      <w:r>
        <w:rPr>
          <w:color w:val="1E293B"/>
          <w:sz w:val="21"/>
        </w:rPr>
        <w:t>Authentication utilizes modern asymmetric public-key cryptography (RFC 7523 JWT signed with private key, verified against KVANN's public JWKS endpoint). No static client passwords or API tokens are stored on client servers.</w:t>
      </w:r>
    </w:p>
    <w:p>
      <w:pPr>
        <w:spacing w:before="60" w:after="80"/>
      </w:pPr>
      <w:r>
        <w:rPr>
          <w:color w:val="1E293B"/>
          <w:sz w:val="21"/>
        </w:rPr>
        <w:t xml:space="preserve">3. </w:t>
      </w:r>
      <w:r>
        <w:rPr>
          <w:b/>
          <w:color w:val="1E293B"/>
          <w:sz w:val="21"/>
        </w:rPr>
        <w:t>The "One-Hour Removal" Guarantee:</w:t>
      </w:r>
    </w:p>
    <w:p>
      <w:pPr>
        <w:spacing w:before="80" w:after="80"/>
        <w:ind w:left="576"/>
      </w:pPr>
      <w:r>
        <w:rPr>
          <w:i/>
          <w:color w:val="64748B"/>
          <w:sz w:val="21"/>
        </w:rPr>
        <w:t>"The pilot is removable in under one hour: revoke the client credentials in OCHIN Interconnect, delete the export script. No agents, no background servers, and zero persistent software footprint inside CCC infrastructure."</w:t>
      </w:r>
    </w:p>
    <w:p>
      <w:pPr>
        <w:spacing w:before="280" w:after="80"/>
      </w:pPr>
      <w:r>
        <w:rPr>
          <w:rFonts w:ascii="Calibri" w:hAnsi="Calibri"/>
          <w:b/>
          <w:color w:val="0D9488"/>
          <w:sz w:val="30"/>
        </w:rPr>
        <w:t>6. Dual-Mode Operating Guarantee (The OCHIN Queue Defense)</w:t>
      </w:r>
    </w:p>
    <w:p>
      <w:pPr>
        <w:spacing w:before="60" w:after="80"/>
      </w:pPr>
      <w:r>
        <w:rPr>
          <w:color w:val="1E293B"/>
          <w:sz w:val="21"/>
        </w:rPr>
        <w:t xml:space="preserve">In healthcare IT, external consortium approval queues can take 4 to 8 weeks. To ensure that administrative review timelines never delay clinical benefits for Old Town Clinic providers, KVANN provides an unconditional </w:t>
      </w:r>
      <w:r>
        <w:rPr>
          <w:b/>
          <w:color w:val="1E293B"/>
          <w:sz w:val="21"/>
        </w:rPr>
        <w:t>Dual-Mode Guarantee</w:t>
      </w:r>
      <w:r>
        <w:rPr>
          <w:color w:val="1E293B"/>
          <w:sz w:val="21"/>
        </w:rPr>
        <w:t>:</w:t>
      </w:r>
    </w:p>
    <w:tbl>
      <w:tblPr>
        <w:tblW w:type="auto" w:w="0"/>
        <w:jc w:val="center"/>
        <w:tblLayout w:type="autofit"/>
        <w:tblLook w:firstColumn="1" w:firstRow="1" w:lastColumn="0" w:lastRow="0" w:noHBand="0" w:noVBand="1" w:val="04A0"/>
      </w:tblPr>
      <w:tblGrid>
        <w:gridCol w:w="2484"/>
        <w:gridCol w:w="2484"/>
        <w:gridCol w:w="2484"/>
        <w:gridCol w:w="2484"/>
      </w:tblGrid>
      <w:tr>
        <w:tc>
          <w:tcPr>
            <w:tcW w:type="dxa" w:w="2484"/>
            <w:shd w:val="clear" w:color="auto" w:fill="0F172A"/>
            <w:tcMar>
              <w:top w:w="100" w:type="dxa"/>
              <w:bottom w:w="100" w:type="dxa"/>
              <w:left w:w="120" w:type="dxa"/>
              <w:right w:w="120" w:type="dxa"/>
            </w:tcMar>
          </w:tcPr>
          <w:p>
            <w:pPr>
              <w:spacing w:before="20" w:after="20" w:line="276" w:lineRule="auto"/>
            </w:pPr>
            <w:r/>
            <w:r>
              <w:rPr>
                <w:b/>
                <w:color w:val="FFFFFF"/>
                <w:sz w:val="20"/>
              </w:rPr>
              <w:t>Operational Tier</w:t>
            </w:r>
          </w:p>
        </w:tc>
        <w:tc>
          <w:tcPr>
            <w:tcW w:type="dxa" w:w="2484"/>
            <w:shd w:val="clear" w:color="auto" w:fill="0F172A"/>
            <w:tcMar>
              <w:top w:w="100" w:type="dxa"/>
              <w:bottom w:w="100" w:type="dxa"/>
              <w:left w:w="120" w:type="dxa"/>
              <w:right w:w="120" w:type="dxa"/>
            </w:tcMar>
          </w:tcPr>
          <w:p>
            <w:pPr>
              <w:spacing w:before="20" w:after="20" w:line="276" w:lineRule="auto"/>
            </w:pPr>
            <w:r/>
            <w:r>
              <w:rPr>
                <w:b/>
                <w:color w:val="FFFFFF"/>
                <w:sz w:val="20"/>
              </w:rPr>
              <w:t>Workflow &amp; Data Flow</w:t>
            </w:r>
          </w:p>
        </w:tc>
        <w:tc>
          <w:tcPr>
            <w:tcW w:type="dxa" w:w="2484"/>
            <w:shd w:val="clear" w:color="auto" w:fill="0F172A"/>
            <w:tcMar>
              <w:top w:w="100" w:type="dxa"/>
              <w:bottom w:w="100" w:type="dxa"/>
              <w:left w:w="120" w:type="dxa"/>
              <w:right w:w="120" w:type="dxa"/>
            </w:tcMar>
          </w:tcPr>
          <w:p>
            <w:pPr>
              <w:spacing w:before="20" w:after="20" w:line="276" w:lineRule="auto"/>
            </w:pPr>
            <w:r/>
            <w:r>
              <w:rPr>
                <w:b/>
                <w:color w:val="FFFFFF"/>
                <w:sz w:val="20"/>
              </w:rPr>
              <w:t>Technical Footprint &amp; Dependencies</w:t>
            </w:r>
          </w:p>
        </w:tc>
        <w:tc>
          <w:tcPr>
            <w:tcW w:type="dxa" w:w="2484"/>
            <w:shd w:val="clear" w:color="auto" w:fill="0F172A"/>
            <w:tcMar>
              <w:top w:w="100" w:type="dxa"/>
              <w:bottom w:w="100" w:type="dxa"/>
              <w:left w:w="120" w:type="dxa"/>
              <w:right w:w="120" w:type="dxa"/>
            </w:tcMar>
          </w:tcPr>
          <w:p>
            <w:pPr>
              <w:spacing w:before="20" w:after="20" w:line="276" w:lineRule="auto"/>
            </w:pPr>
            <w:r/>
            <w:r>
              <w:rPr>
                <w:b/>
                <w:color w:val="FFFFFF"/>
                <w:sz w:val="20"/>
              </w:rPr>
              <w:t>Value Delivery Timeline</w:t>
            </w:r>
          </w:p>
        </w:tc>
      </w:tr>
      <w:tr>
        <w:tc>
          <w:tcPr>
            <w:tcW w:type="dxa" w:w="2484"/>
            <w:shd w:val="clear" w:color="auto" w:fill="F8FAFC"/>
            <w:tcMar>
              <w:top w:w="70" w:type="dxa"/>
              <w:bottom w:w="70" w:type="dxa"/>
              <w:left w:w="120" w:type="dxa"/>
              <w:right w:w="120" w:type="dxa"/>
            </w:tcMar>
          </w:tcPr>
          <w:p>
            <w:pPr>
              <w:spacing w:before="20" w:after="20" w:line="276" w:lineRule="auto"/>
            </w:pPr>
            <w:r/>
            <w:r>
              <w:rPr>
                <w:b/>
                <w:color w:val="1E293B"/>
                <w:sz w:val="19"/>
              </w:rPr>
              <w:t>Mode A: Integrated Epic Operation</w:t>
            </w:r>
          </w:p>
        </w:tc>
        <w:tc>
          <w:tcPr>
            <w:tcW w:type="dxa" w:w="2484"/>
            <w:shd w:val="clear" w:color="auto" w:fill="F8FAFC"/>
            <w:tcMar>
              <w:top w:w="70" w:type="dxa"/>
              <w:bottom w:w="70" w:type="dxa"/>
              <w:left w:w="120" w:type="dxa"/>
              <w:right w:w="120" w:type="dxa"/>
            </w:tcMar>
          </w:tcPr>
          <w:p>
            <w:pPr>
              <w:spacing w:before="20" w:after="20" w:line="276" w:lineRule="auto"/>
            </w:pPr>
            <w:r/>
            <w:r>
              <w:rPr>
                <w:color w:val="1E293B"/>
                <w:sz w:val="19"/>
              </w:rPr>
              <w:t>Direct SMART-on-FHIR REST polling via OCHIN Interconnect</w:t>
            </w:r>
          </w:p>
        </w:tc>
        <w:tc>
          <w:tcPr>
            <w:tcW w:type="dxa" w:w="2484"/>
            <w:shd w:val="clear" w:color="auto" w:fill="F8FAFC"/>
            <w:tcMar>
              <w:top w:w="70" w:type="dxa"/>
              <w:bottom w:w="70" w:type="dxa"/>
              <w:left w:w="120" w:type="dxa"/>
              <w:right w:w="120" w:type="dxa"/>
            </w:tcMar>
          </w:tcPr>
          <w:p>
            <w:pPr>
              <w:spacing w:before="20" w:after="20" w:line="276" w:lineRule="auto"/>
            </w:pPr>
            <w:r/>
            <w:r>
              <w:rPr>
                <w:color w:val="1E293B"/>
                <w:sz w:val="19"/>
              </w:rPr>
              <w:t>OAuth 2.0 connection; subject to standard external hosting review</w:t>
            </w:r>
          </w:p>
        </w:tc>
        <w:tc>
          <w:tcPr>
            <w:tcW w:type="dxa" w:w="2484"/>
            <w:shd w:val="clear" w:color="auto" w:fill="F8FAFC"/>
            <w:tcMar>
              <w:top w:w="70" w:type="dxa"/>
              <w:bottom w:w="70" w:type="dxa"/>
              <w:left w:w="120" w:type="dxa"/>
              <w:right w:w="120" w:type="dxa"/>
            </w:tcMar>
          </w:tcPr>
          <w:p>
            <w:pPr>
              <w:spacing w:before="20" w:after="20" w:line="276" w:lineRule="auto"/>
            </w:pPr>
            <w:r/>
            <w:r>
              <w:rPr>
                <w:color w:val="1E293B"/>
                <w:sz w:val="19"/>
              </w:rPr>
              <w:t>Active upon OCHIN credential issuance</w:t>
            </w:r>
          </w:p>
        </w:tc>
      </w:tr>
      <w:tr>
        <w:tc>
          <w:tcPr>
            <w:tcW w:type="dxa" w:w="2484"/>
            <w:shd w:val="clear" w:color="auto" w:fill="FFFFFF"/>
            <w:tcMar>
              <w:top w:w="70" w:type="dxa"/>
              <w:bottom w:w="70" w:type="dxa"/>
              <w:left w:w="120" w:type="dxa"/>
              <w:right w:w="120" w:type="dxa"/>
            </w:tcMar>
          </w:tcPr>
          <w:p>
            <w:pPr>
              <w:spacing w:before="20" w:after="20" w:line="276" w:lineRule="auto"/>
            </w:pPr>
            <w:r/>
            <w:r>
              <w:rPr>
                <w:b/>
                <w:color w:val="1E293B"/>
                <w:sz w:val="19"/>
              </w:rPr>
              <w:t>Mode B: Assisted Export Operation</w:t>
            </w:r>
          </w:p>
        </w:tc>
        <w:tc>
          <w:tcPr>
            <w:tcW w:type="dxa" w:w="2484"/>
            <w:shd w:val="clear" w:color="auto" w:fill="FFFFFF"/>
            <w:tcMar>
              <w:top w:w="70" w:type="dxa"/>
              <w:bottom w:w="70" w:type="dxa"/>
              <w:left w:w="120" w:type="dxa"/>
              <w:right w:w="120" w:type="dxa"/>
            </w:tcMar>
          </w:tcPr>
          <w:p>
            <w:pPr>
              <w:spacing w:before="20" w:after="20" w:line="276" w:lineRule="auto"/>
            </w:pPr>
            <w:r/>
            <w:r>
              <w:rPr>
                <w:color w:val="1E293B"/>
                <w:sz w:val="19"/>
              </w:rPr>
              <w:t>Staff export daily/weekly schedule report from Epic</w:t>
            </w:r>
          </w:p>
        </w:tc>
        <w:tc>
          <w:tcPr>
            <w:tcW w:type="dxa" w:w="2484"/>
            <w:shd w:val="clear" w:color="auto" w:fill="FFFFFF"/>
            <w:tcMar>
              <w:top w:w="70" w:type="dxa"/>
              <w:bottom w:w="70" w:type="dxa"/>
              <w:left w:w="120" w:type="dxa"/>
              <w:right w:w="120" w:type="dxa"/>
            </w:tcMar>
          </w:tcPr>
          <w:p>
            <w:pPr>
              <w:spacing w:before="20" w:after="20" w:line="276" w:lineRule="auto"/>
            </w:pPr>
            <w:r/>
            <w:r>
              <w:rPr>
                <w:color w:val="1E293B"/>
                <w:sz w:val="19"/>
              </w:rPr>
              <w:t>Encrypted report transport; generates identical visual Tetris view</w:t>
            </w:r>
          </w:p>
        </w:tc>
        <w:tc>
          <w:tcPr>
            <w:tcW w:type="dxa" w:w="2484"/>
            <w:shd w:val="clear" w:color="auto" w:fill="FFFFFF"/>
            <w:tcMar>
              <w:top w:w="70" w:type="dxa"/>
              <w:bottom w:w="70" w:type="dxa"/>
              <w:left w:w="120" w:type="dxa"/>
              <w:right w:w="120" w:type="dxa"/>
            </w:tcMar>
          </w:tcPr>
          <w:p>
            <w:pPr>
              <w:spacing w:before="20" w:after="20" w:line="276" w:lineRule="auto"/>
            </w:pPr>
            <w:r/>
            <w:r>
              <w:rPr>
                <w:b/>
                <w:color w:val="1E293B"/>
                <w:sz w:val="19"/>
              </w:rPr>
              <w:t>100% operational on Day 1 (Zero OCHIN wait)</w:t>
            </w:r>
          </w:p>
        </w:tc>
      </w:tr>
    </w:tbl>
    <w:p>
      <w:pPr>
        <w:spacing w:before="0" w:after="80"/>
      </w:pPr>
    </w:p>
    <w:p>
      <w:pPr>
        <w:spacing w:before="80" w:after="80"/>
        <w:ind w:left="576"/>
      </w:pPr>
      <w:r>
        <w:rPr>
          <w:b/>
          <w:i/>
          <w:color w:val="64748B"/>
          <w:sz w:val="21"/>
        </w:rPr>
        <w:t>The Strategic Advantage for CCC Leadership:</w:t>
      </w:r>
    </w:p>
    <w:p>
      <w:pPr>
        <w:spacing w:before="80" w:after="80"/>
        <w:ind w:left="576"/>
      </w:pPr>
      <w:r>
        <w:rPr>
          <w:i/>
          <w:color w:val="64748B"/>
          <w:sz w:val="21"/>
        </w:rPr>
        <w:t>"Mode B is our guarantee that Central City Concern receives immediate clinical value without waiting for OCHIN's change-control cycle. If OCHIN takes four to six weeks to issue sandbox credentials, Old Town Clinic clinicians still begin schedule optimization on Day 1. When OCHIN credentials clear, the pilot transitions seamlessly to Mode A without resetting the baseline or the 90-day clock."</w:t>
      </w:r>
    </w:p>
    <w:p>
      <w:pPr>
        <w:spacing w:before="280" w:after="80"/>
      </w:pPr>
      <w:r>
        <w:rPr>
          <w:rFonts w:ascii="Calibri" w:hAnsi="Calibri"/>
          <w:b/>
          <w:color w:val="0D9488"/>
          <w:sz w:val="30"/>
        </w:rPr>
        <w:t>7. FQHC Grounding: Old Town Clinic Reality &amp; Provider Agency</w:t>
      </w:r>
    </w:p>
    <w:p>
      <w:pPr>
        <w:spacing w:before="60" w:after="80"/>
      </w:pPr>
      <w:r>
        <w:rPr>
          <w:color w:val="1E293B"/>
          <w:sz w:val="21"/>
        </w:rPr>
        <w:t>Central City Concern’s Old Town Clinic operates in a demanding environment characterized by complex patient acuity and high baseline cancellation/no-show rates (typically 20% to 35% in community health settings). Kvann Flow is purpose-built for this clinical reality:</w:t>
      </w:r>
    </w:p>
    <w:p>
      <w:pPr>
        <w:spacing w:before="200" w:after="60"/>
      </w:pPr>
      <w:r>
        <w:rPr>
          <w:rFonts w:ascii="Calibri" w:hAnsi="Calibri"/>
          <w:b/>
          <w:color w:val="0F172A"/>
          <w:sz w:val="24"/>
        </w:rPr>
        <w:t>Dynamic Gap Compaction vs. Rigid Booking</w:t>
      </w:r>
    </w:p>
    <w:p>
      <w:pPr>
        <w:spacing w:before="60" w:after="80"/>
      </w:pPr>
      <w:r>
        <w:rPr>
          <w:color w:val="1E293B"/>
          <w:sz w:val="21"/>
        </w:rPr>
        <w:t xml:space="preserve">Traditional schedulers fail in FQHCs because rigid algorithms break when patients arrive late or cancel. Kvann Flow treats cancellations as </w:t>
      </w:r>
      <w:r>
        <w:rPr>
          <w:b/>
          <w:color w:val="1E293B"/>
          <w:sz w:val="21"/>
        </w:rPr>
        <w:t>dynamic compaction opportunities</w:t>
      </w:r>
      <w:r>
        <w:rPr>
          <w:color w:val="1E293B"/>
          <w:sz w:val="21"/>
        </w:rPr>
        <w:t>: it pools fragmented 10-minute voids into usable, backfillable appointment openings without double-booking clinicians or running past closing hours.</w:t>
      </w:r>
    </w:p>
    <w:p>
      <w:pPr>
        <w:spacing w:before="200" w:after="60"/>
      </w:pPr>
      <w:r>
        <w:rPr>
          <w:rFonts w:ascii="Calibri" w:hAnsi="Calibri"/>
          <w:b/>
          <w:color w:val="0F172A"/>
          <w:sz w:val="24"/>
        </w:rPr>
        <w:t>The Provider Agency Guarantee</w:t>
      </w:r>
    </w:p>
    <w:p>
      <w:pPr>
        <w:spacing w:before="60" w:after="80"/>
      </w:pPr>
      <w:r>
        <w:rPr>
          <w:color w:val="1E293B"/>
          <w:sz w:val="21"/>
        </w:rPr>
        <w:t>Primary care doctors do not burn out from patient care; they burn out from loss of agency and calendar chaos. Kvann Flow enforces an inviolable clinical pact:</w:t>
      </w:r>
    </w:p>
    <w:tbl>
      <w:tblPr>
        <w:tblW w:type="auto" w:w="0"/>
        <w:jc w:val="center"/>
        <w:tblLayout w:type="autofit"/>
        <w:tblLook w:firstColumn="1" w:firstRow="1" w:lastColumn="0" w:lastRow="0" w:noHBand="0" w:noVBand="1" w:val="04A0"/>
      </w:tblPr>
      <w:tblGrid>
        <w:gridCol w:w="3312"/>
        <w:gridCol w:w="3312"/>
        <w:gridCol w:w="3312"/>
      </w:tblGrid>
      <w:tr>
        <w:tc>
          <w:tcPr>
            <w:tcW w:type="dxa" w:w="3312"/>
            <w:shd w:val="clear" w:color="auto" w:fill="0F172A"/>
            <w:tcMar>
              <w:top w:w="100" w:type="dxa"/>
              <w:bottom w:w="100" w:type="dxa"/>
              <w:left w:w="120" w:type="dxa"/>
              <w:right w:w="120" w:type="dxa"/>
            </w:tcMar>
          </w:tcPr>
          <w:p>
            <w:pPr>
              <w:spacing w:before="20" w:after="20" w:line="276" w:lineRule="auto"/>
            </w:pPr>
            <w:r/>
            <w:r>
              <w:rPr>
                <w:b/>
                <w:color w:val="FFFFFF"/>
                <w:sz w:val="20"/>
              </w:rPr>
              <w:t>Invariant</w:t>
            </w:r>
          </w:p>
        </w:tc>
        <w:tc>
          <w:tcPr>
            <w:tcW w:type="dxa" w:w="3312"/>
            <w:shd w:val="clear" w:color="auto" w:fill="0F172A"/>
            <w:tcMar>
              <w:top w:w="100" w:type="dxa"/>
              <w:bottom w:w="100" w:type="dxa"/>
              <w:left w:w="120" w:type="dxa"/>
              <w:right w:w="120" w:type="dxa"/>
            </w:tcMar>
          </w:tcPr>
          <w:p>
            <w:pPr>
              <w:spacing w:before="20" w:after="20" w:line="276" w:lineRule="auto"/>
            </w:pPr>
            <w:r/>
            <w:r>
              <w:rPr>
                <w:b/>
                <w:color w:val="FFFFFF"/>
                <w:sz w:val="20"/>
              </w:rPr>
              <w:t>Clinical Policy</w:t>
            </w:r>
          </w:p>
        </w:tc>
        <w:tc>
          <w:tcPr>
            <w:tcW w:type="dxa" w:w="3312"/>
            <w:shd w:val="clear" w:color="auto" w:fill="0F172A"/>
            <w:tcMar>
              <w:top w:w="100" w:type="dxa"/>
              <w:bottom w:w="100" w:type="dxa"/>
              <w:left w:w="120" w:type="dxa"/>
              <w:right w:w="120" w:type="dxa"/>
            </w:tcMar>
          </w:tcPr>
          <w:p>
            <w:pPr>
              <w:spacing w:before="20" w:after="20" w:line="276" w:lineRule="auto"/>
            </w:pPr>
            <w:r/>
            <w:r>
              <w:rPr>
                <w:b/>
                <w:color w:val="FFFFFF"/>
                <w:sz w:val="20"/>
              </w:rPr>
              <w:t>Enforcement Mechanism</w:t>
            </w:r>
          </w:p>
        </w:tc>
      </w:tr>
      <w:tr>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1. Inviolable Lunch Firewall</w:t>
            </w:r>
          </w:p>
        </w:tc>
        <w:tc>
          <w:tcPr>
            <w:tcW w:type="dxa" w:w="3312"/>
            <w:shd w:val="clear" w:color="auto" w:fill="F8FAFC"/>
            <w:tcMar>
              <w:top w:w="70" w:type="dxa"/>
              <w:bottom w:w="70" w:type="dxa"/>
              <w:left w:w="120" w:type="dxa"/>
              <w:right w:w="120" w:type="dxa"/>
            </w:tcMar>
          </w:tcPr>
          <w:p>
            <w:pPr>
              <w:spacing w:before="20" w:after="20" w:line="276" w:lineRule="auto"/>
            </w:pPr>
            <w:r/>
            <w:r>
              <w:rPr>
                <w:color w:val="1E293B"/>
                <w:sz w:val="19"/>
              </w:rPr>
              <w:t>Clinicians receive a protected midday rest window every day.</w:t>
            </w:r>
          </w:p>
        </w:tc>
        <w:tc>
          <w:tcPr>
            <w:tcW w:type="dxa" w:w="3312"/>
            <w:shd w:val="clear" w:color="auto" w:fill="F8FAFC"/>
            <w:tcMar>
              <w:top w:w="70" w:type="dxa"/>
              <w:bottom w:w="70" w:type="dxa"/>
              <w:left w:w="120" w:type="dxa"/>
              <w:right w:w="120" w:type="dxa"/>
            </w:tcMar>
          </w:tcPr>
          <w:p>
            <w:pPr>
              <w:spacing w:before="20" w:after="20" w:line="276" w:lineRule="auto"/>
            </w:pPr>
            <w:r/>
            <w:r>
              <w:rPr>
                <w:color w:val="1E293B"/>
                <w:sz w:val="19"/>
              </w:rPr>
              <w:t>Hard mathematical constraint enforced by engine; cannot be scheduled over.</w:t>
            </w:r>
          </w:p>
        </w:tc>
      </w:tr>
      <w:tr>
        <w:tc>
          <w:tcPr>
            <w:tcW w:type="dxa" w:w="3312"/>
            <w:shd w:val="clear" w:color="auto" w:fill="FFFFFF"/>
            <w:tcMar>
              <w:top w:w="70" w:type="dxa"/>
              <w:bottom w:w="70" w:type="dxa"/>
              <w:left w:w="120" w:type="dxa"/>
              <w:right w:w="120" w:type="dxa"/>
            </w:tcMar>
          </w:tcPr>
          <w:p>
            <w:pPr>
              <w:spacing w:before="20" w:after="20" w:line="276" w:lineRule="auto"/>
            </w:pPr>
            <w:r/>
            <w:r>
              <w:rPr>
                <w:b/>
                <w:color w:val="1E293B"/>
                <w:sz w:val="19"/>
              </w:rPr>
              <w:t>2. Algorithmic Equity</w:t>
            </w:r>
          </w:p>
        </w:tc>
        <w:tc>
          <w:tcPr>
            <w:tcW w:type="dxa" w:w="3312"/>
            <w:shd w:val="clear" w:color="auto" w:fill="FFFFFF"/>
            <w:tcMar>
              <w:top w:w="70" w:type="dxa"/>
              <w:bottom w:w="70" w:type="dxa"/>
              <w:left w:w="120" w:type="dxa"/>
              <w:right w:w="120" w:type="dxa"/>
            </w:tcMar>
          </w:tcPr>
          <w:p>
            <w:pPr>
              <w:spacing w:before="20" w:after="20" w:line="276" w:lineRule="auto"/>
            </w:pPr>
            <w:r/>
            <w:r>
              <w:rPr>
                <w:color w:val="1E293B"/>
                <w:sz w:val="19"/>
              </w:rPr>
              <w:t>Equal care access regardless of insurance type or socioeconomic status.</w:t>
            </w:r>
          </w:p>
        </w:tc>
        <w:tc>
          <w:tcPr>
            <w:tcW w:type="dxa" w:w="3312"/>
            <w:shd w:val="clear" w:color="auto" w:fill="FFFFFF"/>
            <w:tcMar>
              <w:top w:w="70" w:type="dxa"/>
              <w:bottom w:w="70" w:type="dxa"/>
              <w:left w:w="120" w:type="dxa"/>
              <w:right w:w="120" w:type="dxa"/>
            </w:tcMar>
          </w:tcPr>
          <w:p>
            <w:pPr>
              <w:spacing w:before="20" w:after="20" w:line="276" w:lineRule="auto"/>
            </w:pPr>
            <w:r/>
            <w:r>
              <w:rPr>
                <w:color w:val="1E293B"/>
                <w:sz w:val="19"/>
              </w:rPr>
              <w:t>Neutral slot allocation based strictly on clinical visit urgency and availability.</w:t>
            </w:r>
          </w:p>
        </w:tc>
      </w:tr>
      <w:tr>
        <w:tc>
          <w:tcPr>
            <w:tcW w:type="dxa" w:w="3312"/>
            <w:shd w:val="clear" w:color="auto" w:fill="F8FAFC"/>
            <w:tcMar>
              <w:top w:w="70" w:type="dxa"/>
              <w:bottom w:w="70" w:type="dxa"/>
              <w:left w:w="120" w:type="dxa"/>
              <w:right w:w="120" w:type="dxa"/>
            </w:tcMar>
          </w:tcPr>
          <w:p>
            <w:pPr>
              <w:spacing w:before="20" w:after="20" w:line="276" w:lineRule="auto"/>
            </w:pPr>
            <w:r/>
            <w:r>
              <w:rPr>
                <w:b/>
                <w:color w:val="1E293B"/>
                <w:sz w:val="19"/>
              </w:rPr>
              <w:t>3. Clinician Agency &amp; Veto</w:t>
            </w:r>
          </w:p>
        </w:tc>
        <w:tc>
          <w:tcPr>
            <w:tcW w:type="dxa" w:w="3312"/>
            <w:shd w:val="clear" w:color="auto" w:fill="F8FAFC"/>
            <w:tcMar>
              <w:top w:w="70" w:type="dxa"/>
              <w:bottom w:w="70" w:type="dxa"/>
              <w:left w:w="120" w:type="dxa"/>
              <w:right w:w="120" w:type="dxa"/>
            </w:tcMar>
          </w:tcPr>
          <w:p>
            <w:pPr>
              <w:spacing w:before="20" w:after="20" w:line="276" w:lineRule="auto"/>
            </w:pPr>
            <w:r/>
            <w:r>
              <w:rPr>
                <w:color w:val="1E293B"/>
                <w:sz w:val="19"/>
              </w:rPr>
              <w:t>Zero automated booking onto calendars without human confirmation.</w:t>
            </w:r>
          </w:p>
        </w:tc>
        <w:tc>
          <w:tcPr>
            <w:tcW w:type="dxa" w:w="3312"/>
            <w:shd w:val="clear" w:color="auto" w:fill="F8FAFC"/>
            <w:tcMar>
              <w:top w:w="70" w:type="dxa"/>
              <w:bottom w:w="70" w:type="dxa"/>
              <w:left w:w="120" w:type="dxa"/>
              <w:right w:w="120" w:type="dxa"/>
            </w:tcMar>
          </w:tcPr>
          <w:p>
            <w:pPr>
              <w:spacing w:before="20" w:after="20" w:line="276" w:lineRule="auto"/>
            </w:pPr>
            <w:r/>
            <w:r>
              <w:rPr>
                <w:color w:val="1E293B"/>
                <w:sz w:val="19"/>
              </w:rPr>
              <w:t>Staff-assisted recommendations presented for clinical approval before booking.</w:t>
            </w:r>
          </w:p>
        </w:tc>
      </w:tr>
      <w:tr>
        <w:tc>
          <w:tcPr>
            <w:tcW w:type="dxa" w:w="3312"/>
            <w:shd w:val="clear" w:color="auto" w:fill="FFFFFF"/>
            <w:tcMar>
              <w:top w:w="70" w:type="dxa"/>
              <w:bottom w:w="70" w:type="dxa"/>
              <w:left w:w="120" w:type="dxa"/>
              <w:right w:w="120" w:type="dxa"/>
            </w:tcMar>
          </w:tcPr>
          <w:p>
            <w:pPr>
              <w:spacing w:before="20" w:after="20" w:line="276" w:lineRule="auto"/>
            </w:pPr>
            <w:r/>
            <w:r>
              <w:rPr>
                <w:b/>
                <w:color w:val="1E293B"/>
                <w:sz w:val="19"/>
              </w:rPr>
              <w:t>4. Independent Validation</w:t>
            </w:r>
          </w:p>
        </w:tc>
        <w:tc>
          <w:tcPr>
            <w:tcW w:type="dxa" w:w="3312"/>
            <w:shd w:val="clear" w:color="auto" w:fill="FFFFFF"/>
            <w:tcMar>
              <w:top w:w="70" w:type="dxa"/>
              <w:bottom w:w="70" w:type="dxa"/>
              <w:left w:w="120" w:type="dxa"/>
              <w:right w:w="120" w:type="dxa"/>
            </w:tcMar>
          </w:tcPr>
          <w:p>
            <w:pPr>
              <w:spacing w:before="20" w:after="20" w:line="276" w:lineRule="auto"/>
            </w:pPr>
            <w:r/>
            <w:r>
              <w:rPr>
                <w:color w:val="1E293B"/>
                <w:sz w:val="19"/>
              </w:rPr>
              <w:t>Baseline and final density metrics are co-signed by CCC leadership.</w:t>
            </w:r>
          </w:p>
        </w:tc>
        <w:tc>
          <w:tcPr>
            <w:tcW w:type="dxa" w:w="3312"/>
            <w:shd w:val="clear" w:color="auto" w:fill="FFFFFF"/>
            <w:tcMar>
              <w:top w:w="70" w:type="dxa"/>
              <w:bottom w:w="70" w:type="dxa"/>
              <w:left w:w="120" w:type="dxa"/>
              <w:right w:w="120" w:type="dxa"/>
            </w:tcMar>
          </w:tcPr>
          <w:p>
            <w:pPr>
              <w:spacing w:before="20" w:after="20" w:line="276" w:lineRule="auto"/>
            </w:pPr>
            <w:r/>
            <w:r>
              <w:rPr>
                <w:color w:val="1E293B"/>
                <w:sz w:val="19"/>
              </w:rPr>
              <w:t>Empirical pre-pilot baseline; "we do not grade our own homework".</w:t>
            </w:r>
          </w:p>
        </w:tc>
      </w:tr>
    </w:tbl>
    <w:p>
      <w:pPr>
        <w:spacing w:before="0" w:after="80"/>
      </w:pPr>
    </w:p>
    <w:p>
      <w:pPr>
        <w:spacing w:before="280" w:after="80"/>
      </w:pPr>
      <w:r>
        <w:rPr>
          <w:rFonts w:ascii="Calibri" w:hAnsi="Calibri"/>
          <w:b/>
          <w:color w:val="0D9488"/>
          <w:sz w:val="30"/>
        </w:rPr>
        <w:t>8. Summary of Terms &amp; Next Steps</w:t>
      </w:r>
    </w:p>
    <w:p>
      <w:pPr>
        <w:pStyle w:val="ListBullet"/>
        <w:spacing w:before="20" w:after="40"/>
      </w:pPr>
      <w:r>
        <w:rPr>
          <w:b/>
          <w:color w:val="1E293B"/>
          <w:sz w:val="21"/>
        </w:rPr>
        <w:t>Pilot Investment:</w:t>
      </w:r>
      <w:r>
        <w:rPr>
          <w:color w:val="1E293B"/>
          <w:sz w:val="21"/>
        </w:rPr>
        <w:t xml:space="preserve"> Flat fixed-fee of 3,500 to 5,000 USD (100% credited toward Year 1 subscription upon full deployment).</w:t>
      </w:r>
    </w:p>
    <w:p>
      <w:pPr>
        <w:pStyle w:val="ListBullet"/>
        <w:spacing w:before="20" w:after="40"/>
      </w:pPr>
      <w:r>
        <w:rPr>
          <w:b/>
          <w:color w:val="1E293B"/>
          <w:sz w:val="21"/>
        </w:rPr>
        <w:t>Satisfaction Clause:</w:t>
      </w:r>
      <w:r>
        <w:rPr>
          <w:color w:val="1E293B"/>
          <w:sz w:val="21"/>
        </w:rPr>
        <w:t xml:space="preserve"> Full refund within 30 days from live assisted operation if schedule density gain is &lt;5% over the 30-day pre-pilot baseline, or if clinicians veto safety.</w:t>
      </w:r>
    </w:p>
    <w:p>
      <w:pPr>
        <w:pStyle w:val="ListBullet"/>
        <w:spacing w:before="20" w:after="40"/>
      </w:pPr>
      <w:r>
        <w:rPr>
          <w:b/>
          <w:color w:val="1E293B"/>
          <w:sz w:val="21"/>
        </w:rPr>
        <w:t>Immediate Next Step:</w:t>
      </w:r>
      <w:r>
        <w:rPr>
          <w:color w:val="1E293B"/>
          <w:sz w:val="21"/>
        </w:rPr>
        <w:t xml:space="preserve"> Joint 30-minute technical alignment call with CCC Clinical IT Lead to initiate Mode B template review and submit the standard OCHIN third-party app intake request.</w:t>
      </w:r>
    </w:p>
    <w:p>
      <w:pPr>
        <w:spacing w:before="60" w:after="80"/>
      </w:pPr>
      <w:r>
        <w:rPr>
          <w:i/>
          <w:color w:val="1E293B"/>
          <w:sz w:val="21"/>
        </w:rPr>
        <w:t>Submitted by KVANN HEALTH LLC. Approved for distribution to Central City Concern Executive Leadership.</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