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20" w:after="120"/>
      </w:pPr>
      <w:r>
        <w:rPr>
          <w:rFonts w:ascii="Calibri" w:hAnsi="Calibri"/>
          <w:b/>
          <w:color w:val="0F172A"/>
          <w:sz w:val="44"/>
        </w:rPr>
        <w:t>Pilot Statement of Work &amp; Proposal</w:t>
      </w:r>
    </w:p>
    <w:p>
      <w:pPr>
        <w:spacing w:before="280" w:after="80"/>
      </w:pPr>
      <w:r>
        <w:rPr>
          <w:rFonts w:ascii="Calibri" w:hAnsi="Calibri"/>
          <w:b/>
          <w:color w:val="0D9488"/>
          <w:sz w:val="30"/>
        </w:rPr>
        <w:t>Kvann Flow™ Schedule &amp; Capacity Optimization Pilot for Central City Concern</w:t>
      </w:r>
    </w:p>
    <w:p>
      <w:pPr>
        <w:spacing w:before="60" w:after="80"/>
      </w:pPr>
      <w:r/>
      <w:r>
        <w:rPr>
          <w:b/>
        </w:rPr>
        <w:t>Prepared for:</w:t>
      </w:r>
      <w:r>
        <w:t xml:space="preserve"> Central City Concern (CCC), Portland, Oregon — Executive Leadership</w:t>
      </w:r>
    </w:p>
    <w:p>
      <w:pPr>
        <w:spacing w:before="60" w:after="80"/>
      </w:pPr>
      <w:r/>
      <w:r>
        <w:rPr>
          <w:b/>
        </w:rPr>
        <w:t>Prepared by:</w:t>
      </w:r>
      <w:r>
        <w:t xml:space="preserve"> KVANN HEALTH LLC, Oregon, USA</w:t>
      </w:r>
    </w:p>
    <w:p>
      <w:pPr>
        <w:spacing w:before="60" w:after="80"/>
      </w:pPr>
      <w:r/>
      <w:r>
        <w:rPr>
          <w:b/>
        </w:rPr>
        <w:t>Date:</w:t>
      </w:r>
      <w:r>
        <w:t xml:space="preserve"> September 15, 2026 · </w:t>
      </w:r>
      <w:r>
        <w:rPr>
          <w:b/>
        </w:rPr>
        <w:t>Status:</w:t>
      </w:r>
      <w:r>
        <w:t xml:space="preserve"> FINAL PROPOSAL v1.0</w:t>
      </w:r>
    </w:p>
    <w:p>
      <w:pPr>
        <w:spacing w:before="60" w:after="80"/>
      </w:pPr>
      <w:r/>
      <w:r>
        <w:rPr>
          <w:b/>
        </w:rPr>
        <w:t>Validity:</w:t>
      </w:r>
      <w:r>
        <w:t xml:space="preserve"> 60 days from date of issue</w:t>
      </w:r>
    </w:p>
    <w:p>
      <w:pPr>
        <w:spacing w:before="60" w:after="80"/>
      </w:pPr>
      <w:r/>
      <w:r>
        <w:rPr>
          <w:b/>
        </w:rPr>
        <w:t>Key Contacts:</w:t>
      </w:r>
      <w:r>
        <w:t xml:space="preserve"> Dr. Joseph Siemienczuk, MD (CEO &amp; CMO) · Jaime J. Saavedra (VP Commercial) · Alexey Soshnin (CTO)</w:t>
      </w:r>
    </w:p>
    <w:p>
      <w:pPr>
        <w:spacing w:before="280" w:after="80"/>
      </w:pPr>
      <w:r>
        <w:rPr>
          <w:rFonts w:ascii="Calibri" w:hAnsi="Calibri"/>
          <w:b/>
          <w:color w:val="0D9488"/>
          <w:sz w:val="30"/>
        </w:rPr>
        <w:t>Executive Transmittal — Cover Email</w:t>
      </w:r>
    </w:p>
    <w:p>
      <w:pPr>
        <w:spacing w:before="80" w:after="80"/>
        <w:ind w:left="576"/>
      </w:pPr>
      <w:r>
        <w:rPr>
          <w:i/>
          <w:color w:val="64748B"/>
        </w:rPr>
        <w:t>**From:** Dr. Joseph Siemienczuk, MD, KVANN HEALTH LLC</w:t>
      </w:r>
    </w:p>
    <w:p>
      <w:pPr>
        <w:spacing w:before="80" w:after="80"/>
        <w:ind w:left="576"/>
      </w:pPr>
      <w:r>
        <w:rPr>
          <w:i/>
          <w:color w:val="64748B"/>
        </w:rPr>
        <w:t>**To:** Dr. Andy Mendenhall, President &amp; CEO; David Chen, Chief Administrative Officer — Central City Concern</w:t>
      </w:r>
    </w:p>
    <w:p>
      <w:pPr>
        <w:spacing w:before="80" w:after="80"/>
        <w:ind w:left="576"/>
      </w:pPr>
      <w:r>
        <w:rPr>
          <w:i/>
          <w:color w:val="64748B"/>
        </w:rPr>
        <w:t>**Subject:** Pilot Proposal — Recapturing 8–15% of Lost Appointment Capacity at CCC (90-Day, Fixed-Fee, Fully Risk-Reversed)</w:t>
      </w:r>
    </w:p>
    <w:p>
      <w:pPr>
        <w:spacing w:before="60" w:after="80"/>
      </w:pPr>
      <w:r>
        <w:t>&gt;</w:t>
      </w:r>
    </w:p>
    <w:p>
      <w:pPr>
        <w:spacing w:before="80" w:after="80"/>
        <w:ind w:left="576"/>
      </w:pPr>
      <w:r>
        <w:rPr>
          <w:i/>
          <w:color w:val="64748B"/>
        </w:rPr>
        <w:t>Dear Dr. Mendenhall and Mr. Chen,</w:t>
      </w:r>
    </w:p>
    <w:p>
      <w:pPr>
        <w:spacing w:before="60" w:after="80"/>
      </w:pPr>
      <w:r>
        <w:t>&gt;</w:t>
      </w:r>
    </w:p>
    <w:p>
      <w:pPr>
        <w:spacing w:before="80" w:after="80"/>
        <w:ind w:left="576"/>
      </w:pPr>
      <w:r>
        <w:rPr>
          <w:i/>
          <w:color w:val="64748B"/>
        </w:rPr>
        <w:t>Thank you for the opportunity to put this proposal in front of you. Central City Concern's work with Portland's most vulnerable residents is exactly the setting where clinician time matters most — and where the industry's 15–20% schedule-capacity loss to fragmented "Swiss cheese" calendars does the most damage. The enclosed Statement of Work proposes a deliberately small, measurable pilot of Kvann Flow, our schedule and capacity optimizer: 90 days, 2–3 volunteer providers at one site, staff-facing only, with zero change to your clinical documentation workflows and zero patient-facing impact.</w:t>
      </w:r>
    </w:p>
    <w:p>
      <w:pPr>
        <w:spacing w:before="60" w:after="80"/>
      </w:pPr>
      <w:r>
        <w:t>&gt;</w:t>
      </w:r>
    </w:p>
    <w:p>
      <w:pPr>
        <w:spacing w:before="80" w:after="80"/>
        <w:ind w:left="576"/>
      </w:pPr>
      <w:r>
        <w:rPr>
          <w:i/>
          <w:color w:val="64748B"/>
        </w:rPr>
        <w:t>Three design commitments should make this an easy pilot to say yes to:</w:t>
      </w:r>
    </w:p>
    <w:p>
      <w:pPr>
        <w:spacing w:before="80" w:after="80"/>
        <w:ind w:left="576"/>
      </w:pPr>
      <w:r>
        <w:rPr>
          <w:i/>
          <w:color w:val="64748B"/>
        </w:rPr>
        <w:t>1. **Consortium-proof by construction:** If external change-control approval for direct Epic integration takes several weeks, the pilot activates immediately in an assisted export mode using a secure daily schedule report — so clinical value begins on Day 1 regardless of administrative review queues.</w:t>
      </w:r>
    </w:p>
    <w:p>
      <w:pPr>
        <w:spacing w:before="80" w:after="80"/>
        <w:ind w:left="576"/>
      </w:pPr>
      <w:r>
        <w:rPr>
          <w:i/>
          <w:color w:val="64748B"/>
        </w:rPr>
        <w:t>2. **Lightweight:** We ask for only 4–6 hours of technical IT liaison time and ~20–22 hours of clinical/management staff time spread across the entire 90 days.</w:t>
      </w:r>
    </w:p>
    <w:p>
      <w:pPr>
        <w:spacing w:before="80" w:after="80"/>
        <w:ind w:left="576"/>
      </w:pPr>
      <w:r>
        <w:rPr>
          <w:i/>
          <w:color w:val="64748B"/>
        </w:rPr>
        <w:t>3. **Fully risk-reversed:** A fixed fee ($3,500 – $5,000 flat), 100% of which credits toward your Year 1 subscription upon rollout, backed by a 30-day satisfaction clause with a full refund if we fail to deliver a 5% schedule-density improvement against your own locked historical baseline measured over 30 days of live assisted operation.</w:t>
      </w:r>
    </w:p>
    <w:p>
      <w:pPr>
        <w:spacing w:before="60" w:after="80"/>
      </w:pPr>
      <w:r>
        <w:t>&gt;</w:t>
      </w:r>
    </w:p>
    <w:p>
      <w:pPr>
        <w:spacing w:before="80" w:after="80"/>
        <w:ind w:left="576"/>
      </w:pPr>
      <w:r>
        <w:rPr>
          <w:i/>
          <w:color w:val="64748B"/>
        </w:rPr>
        <w:t>We would welcome 30 minutes with you and your team to walk through the pilot design and answer questions, and we are ready to begin Phase 0 calibration — which requires zero CCC data — as soon as you give the word. Thank you for your consideration, and for everything CCC does for this community.</w:t>
      </w:r>
    </w:p>
    <w:p>
      <w:pPr>
        <w:spacing w:before="60" w:after="80"/>
      </w:pPr>
      <w:r>
        <w:t>&gt;</w:t>
      </w:r>
    </w:p>
    <w:p>
      <w:pPr>
        <w:spacing w:before="80" w:after="80"/>
        <w:ind w:left="576"/>
      </w:pPr>
      <w:r>
        <w:rPr>
          <w:i/>
          <w:color w:val="64748B"/>
        </w:rPr>
        <w:t>With respect,</w:t>
      </w:r>
    </w:p>
    <w:p>
      <w:pPr>
        <w:spacing w:before="80" w:after="80"/>
        <w:ind w:left="576"/>
      </w:pPr>
      <w:r>
        <w:rPr>
          <w:i/>
          <w:color w:val="64748B"/>
        </w:rPr>
        <w:t>Dr. Joseph Siemienczuk, MD, on behalf of the KVANN HEALTH LLC team</w:t>
      </w:r>
    </w:p>
    <w:p>
      <w:pPr>
        <w:spacing w:before="280" w:after="80"/>
      </w:pPr>
      <w:r>
        <w:rPr>
          <w:rFonts w:ascii="Calibri" w:hAnsi="Calibri"/>
          <w:b/>
          <w:color w:val="0D9488"/>
          <w:sz w:val="30"/>
        </w:rPr>
        <w:t>Section 0: Executive Briefing &amp; Mission Alignment</w:t>
      </w:r>
    </w:p>
    <w:p>
      <w:pPr>
        <w:spacing w:before="60" w:after="80"/>
      </w:pPr>
      <w:r>
        <w:t xml:space="preserve">Central City Concern's mission — ending homelessness and providing integrated, compassionate care to Portland's most vulnerable residents — depends on one scarce resource above all others: </w:t>
      </w:r>
      <w:r>
        <w:rPr>
          <w:b/>
        </w:rPr>
        <w:t>clinician time at Old Town Clinic, Blackburn Center, and CCC's shelter-based clinics</w:t>
      </w:r>
      <w:r>
        <w:t>.</w:t>
      </w:r>
    </w:p>
    <w:p>
      <w:pPr>
        <w:spacing w:before="60" w:after="80"/>
      </w:pPr>
      <w:r>
        <w:t xml:space="preserve">Yet across US primary care, </w:t>
      </w:r>
      <w:r>
        <w:rPr>
          <w:b/>
        </w:rPr>
        <w:t>15–20% of clinical schedule capacity is lost</w:t>
      </w:r>
      <w:r>
        <w:t xml:space="preserve"> to fragmented "Swiss cheese" schedules — orphaned 10-minute gaps between appointments that cannot be booked, backfilled, or used. Baseline no-show rates of 20–35% in community health settings compound this, leaving even dedicated clinics operating with significant unrecoverable schedule voids. Meanwhile, providers absorb 1.5–2.5 hours of evening administrative work ("pajama time") — the primary, universally cited driver of physician burnout and turnover.</w:t>
      </w:r>
    </w:p>
    <w:p>
      <w:pPr>
        <w:spacing w:before="60" w:after="80"/>
      </w:pPr>
      <w:r/>
      <w:r>
        <w:rPr>
          <w:b/>
        </w:rPr>
        <w:t>Executive Value Thesis:</w:t>
      </w:r>
      <w:r>
        <w:t xml:space="preserve"> Kvann Flow recaptures </w:t>
      </w:r>
      <w:r>
        <w:rPr>
          <w:b/>
        </w:rPr>
        <w:t>8–15% of lost appointment capacity</w:t>
      </w:r>
      <w:r>
        <w:t xml:space="preserve"> from fragmented schedules — with </w:t>
      </w:r>
      <w:r>
        <w:rPr>
          <w:b/>
        </w:rPr>
        <w:t>zero added clinical documentation burden</w:t>
      </w:r>
      <w:r>
        <w:t>, zero patient-facing change, and zero disruption to CCC's hosted Epic environment.</w:t>
      </w:r>
    </w:p>
    <w:p>
      <w:pPr>
        <w:spacing w:before="60" w:after="80"/>
      </w:pPr>
      <w:r>
        <w:t>This pilot is deliberately bounded, measurable, and risk-reversed: 90 days, 2–3 volunteer providers, one site, a fixed fee, a defined success metric, and a full-refund satisfaction clause. It is designed to let CCC leadership validate value with a minimal staff footprint before any clinic-wide decision.</w:t>
      </w:r>
    </w:p>
    <w:p>
      <w:pPr>
        <w:spacing w:before="280" w:after="80"/>
      </w:pPr>
      <w:r>
        <w:rPr>
          <w:rFonts w:ascii="Calibri" w:hAnsi="Calibri"/>
          <w:b/>
          <w:color w:val="0D9488"/>
          <w:sz w:val="30"/>
        </w:rPr>
        <w:t>Section 1: Pareto Pilot Scope &amp; Phased Implementation</w:t>
      </w:r>
    </w:p>
    <w:tbl>
      <w:tblPr>
        <w:tblW w:type="auto" w:w="0"/>
        <w:jc w:val="center"/>
        <w:tblLayout w:type="autofit"/>
        <w:tblLook w:firstColumn="1" w:firstRow="1" w:lastColumn="0" w:lastRow="0" w:noHBand="0" w:noVBand="1" w:val="04A0"/>
      </w:tblPr>
      <w:tblGrid>
        <w:gridCol w:w="4968"/>
        <w:gridCol w:w="4968"/>
      </w:tblGrid>
      <w:tr>
        <w:tc>
          <w:tcPr>
            <w:tcW w:type="dxa" w:w="4968"/>
            <w:shd w:val="clear" w:color="auto" w:fill="0F172A"/>
            <w:tcMar>
              <w:top w:w="120" w:type="dxa"/>
              <w:bottom w:w="120" w:type="dxa"/>
              <w:left w:w="140" w:type="dxa"/>
              <w:right w:w="140" w:type="dxa"/>
            </w:tcMar>
          </w:tcPr>
          <w:p>
            <w:pPr>
              <w:spacing w:before="80" w:after="80" w:line="276" w:lineRule="auto"/>
            </w:pPr>
            <w:r>
              <w:rPr>
                <w:b/>
                <w:color w:val="FFFFFF"/>
                <w:sz w:val="20"/>
              </w:rPr>
              <w:t>Parameter</w:t>
            </w:r>
          </w:p>
        </w:tc>
        <w:tc>
          <w:tcPr>
            <w:tcW w:type="dxa" w:w="4968"/>
            <w:shd w:val="clear" w:color="auto" w:fill="0F172A"/>
            <w:tcMar>
              <w:top w:w="120" w:type="dxa"/>
              <w:bottom w:w="120" w:type="dxa"/>
              <w:left w:w="140" w:type="dxa"/>
              <w:right w:w="140" w:type="dxa"/>
            </w:tcMar>
          </w:tcPr>
          <w:p>
            <w:pPr>
              <w:spacing w:before="80" w:after="80" w:line="276" w:lineRule="auto"/>
            </w:pPr>
            <w:r>
              <w:rPr>
                <w:b/>
                <w:color w:val="FFFFFF"/>
                <w:sz w:val="20"/>
              </w:rPr>
              <w:t>Specification</w:t>
            </w:r>
          </w:p>
        </w:tc>
      </w:tr>
      <w:tr>
        <w:tc>
          <w:tcPr>
            <w:tcW w:type="dxa" w:w="4968"/>
            <w:shd w:val="clear" w:color="auto" w:fill="F8FAFC"/>
            <w:tcMar>
              <w:top w:w="80" w:type="dxa"/>
              <w:bottom w:w="80" w:type="dxa"/>
              <w:left w:w="140" w:type="dxa"/>
              <w:right w:w="140" w:type="dxa"/>
            </w:tcMar>
          </w:tcPr>
          <w:p>
            <w:pPr>
              <w:spacing w:before="80" w:after="80" w:line="276" w:lineRule="auto"/>
            </w:pPr>
            <w:r>
              <w:rPr>
                <w:color w:val="1E293B"/>
                <w:sz w:val="20"/>
              </w:rPr>
              <w:t>**Product**</w:t>
            </w:r>
          </w:p>
        </w:tc>
        <w:tc>
          <w:tcPr>
            <w:tcW w:type="dxa" w:w="4968"/>
            <w:shd w:val="clear" w:color="auto" w:fill="F8FAFC"/>
            <w:tcMar>
              <w:top w:w="80" w:type="dxa"/>
              <w:bottom w:w="80" w:type="dxa"/>
              <w:left w:w="140" w:type="dxa"/>
              <w:right w:w="140" w:type="dxa"/>
            </w:tcMar>
          </w:tcPr>
          <w:p>
            <w:pPr>
              <w:spacing w:before="80" w:after="80" w:line="276" w:lineRule="auto"/>
            </w:pPr>
            <w:r>
              <w:rPr>
                <w:color w:val="1E293B"/>
                <w:sz w:val="20"/>
              </w:rPr>
              <w:t>Kvann Flow™ — **Pillar 2: Schedule &amp; Capacity Optimizer**</w:t>
            </w:r>
          </w:p>
        </w:tc>
      </w:tr>
      <w:tr>
        <w:tc>
          <w:tcPr>
            <w:tcW w:type="dxa" w:w="4968"/>
            <w:shd w:val="clear" w:color="auto" w:fill="FFFFFF"/>
            <w:tcMar>
              <w:top w:w="80" w:type="dxa"/>
              <w:bottom w:w="80" w:type="dxa"/>
              <w:left w:w="140" w:type="dxa"/>
              <w:right w:w="140" w:type="dxa"/>
            </w:tcMar>
          </w:tcPr>
          <w:p>
            <w:pPr>
              <w:spacing w:before="80" w:after="80" w:line="276" w:lineRule="auto"/>
            </w:pPr>
            <w:r>
              <w:rPr>
                <w:color w:val="1E293B"/>
                <w:sz w:val="20"/>
              </w:rPr>
              <w:t>**Site**</w:t>
            </w:r>
          </w:p>
        </w:tc>
        <w:tc>
          <w:tcPr>
            <w:tcW w:type="dxa" w:w="4968"/>
            <w:shd w:val="clear" w:color="auto" w:fill="FFFFFF"/>
            <w:tcMar>
              <w:top w:w="80" w:type="dxa"/>
              <w:bottom w:w="80" w:type="dxa"/>
              <w:left w:w="140" w:type="dxa"/>
              <w:right w:w="140" w:type="dxa"/>
            </w:tcMar>
          </w:tcPr>
          <w:p>
            <w:pPr>
              <w:spacing w:before="80" w:after="80" w:line="276" w:lineRule="auto"/>
            </w:pPr>
            <w:r>
              <w:rPr>
                <w:color w:val="1E293B"/>
                <w:sz w:val="20"/>
              </w:rPr>
              <w:t>One clinical site (proposed: Old Town Clinic, 727 W Burnside St., Portland, OR)</w:t>
            </w:r>
          </w:p>
        </w:tc>
      </w:tr>
      <w:tr>
        <w:tc>
          <w:tcPr>
            <w:tcW w:type="dxa" w:w="4968"/>
            <w:shd w:val="clear" w:color="auto" w:fill="F8FAFC"/>
            <w:tcMar>
              <w:top w:w="80" w:type="dxa"/>
              <w:bottom w:w="80" w:type="dxa"/>
              <w:left w:w="140" w:type="dxa"/>
              <w:right w:w="140" w:type="dxa"/>
            </w:tcMar>
          </w:tcPr>
          <w:p>
            <w:pPr>
              <w:spacing w:before="80" w:after="80" w:line="276" w:lineRule="auto"/>
            </w:pPr>
            <w:r>
              <w:rPr>
                <w:color w:val="1E293B"/>
                <w:sz w:val="20"/>
              </w:rPr>
              <w:t>**Providers**</w:t>
            </w:r>
          </w:p>
        </w:tc>
        <w:tc>
          <w:tcPr>
            <w:tcW w:type="dxa" w:w="4968"/>
            <w:shd w:val="clear" w:color="auto" w:fill="F8FAFC"/>
            <w:tcMar>
              <w:top w:w="80" w:type="dxa"/>
              <w:bottom w:w="80" w:type="dxa"/>
              <w:left w:w="140" w:type="dxa"/>
              <w:right w:w="140" w:type="dxa"/>
            </w:tcMar>
          </w:tcPr>
          <w:p>
            <w:pPr>
              <w:spacing w:before="80" w:after="80" w:line="276" w:lineRule="auto"/>
            </w:pPr>
            <w:r>
              <w:rPr>
                <w:color w:val="1E293B"/>
                <w:sz w:val="20"/>
              </w:rPr>
              <w:t>**2–3 volunteer primary care providers**</w:t>
            </w:r>
          </w:p>
        </w:tc>
      </w:tr>
      <w:tr>
        <w:tc>
          <w:tcPr>
            <w:tcW w:type="dxa" w:w="4968"/>
            <w:shd w:val="clear" w:color="auto" w:fill="FFFFFF"/>
            <w:tcMar>
              <w:top w:w="80" w:type="dxa"/>
              <w:bottom w:w="80" w:type="dxa"/>
              <w:left w:w="140" w:type="dxa"/>
              <w:right w:w="140" w:type="dxa"/>
            </w:tcMar>
          </w:tcPr>
          <w:p>
            <w:pPr>
              <w:spacing w:before="80" w:after="80" w:line="276" w:lineRule="auto"/>
            </w:pPr>
            <w:r>
              <w:rPr>
                <w:color w:val="1E293B"/>
                <w:sz w:val="20"/>
              </w:rPr>
              <w:t>**Duration**</w:t>
            </w:r>
          </w:p>
        </w:tc>
        <w:tc>
          <w:tcPr>
            <w:tcW w:type="dxa" w:w="4968"/>
            <w:shd w:val="clear" w:color="auto" w:fill="FFFFFF"/>
            <w:tcMar>
              <w:top w:w="80" w:type="dxa"/>
              <w:bottom w:w="80" w:type="dxa"/>
              <w:left w:w="140" w:type="dxa"/>
              <w:right w:w="140" w:type="dxa"/>
            </w:tcMar>
          </w:tcPr>
          <w:p>
            <w:pPr>
              <w:spacing w:before="80" w:after="80" w:line="276" w:lineRule="auto"/>
            </w:pPr>
            <w:r>
              <w:rPr>
                <w:color w:val="1E293B"/>
                <w:sz w:val="20"/>
              </w:rPr>
              <w:t>**90 days** from Day 0 (live data connection or Assisted Export activation, whichever first)</w:t>
            </w:r>
          </w:p>
        </w:tc>
      </w:tr>
      <w:tr>
        <w:tc>
          <w:tcPr>
            <w:tcW w:type="dxa" w:w="4968"/>
            <w:shd w:val="clear" w:color="auto" w:fill="F8FAFC"/>
            <w:tcMar>
              <w:top w:w="80" w:type="dxa"/>
              <w:bottom w:w="80" w:type="dxa"/>
              <w:left w:w="140" w:type="dxa"/>
              <w:right w:w="140" w:type="dxa"/>
            </w:tcMar>
          </w:tcPr>
          <w:p>
            <w:pPr>
              <w:spacing w:before="80" w:after="80" w:line="276" w:lineRule="auto"/>
            </w:pPr>
            <w:r>
              <w:rPr>
                <w:color w:val="1E293B"/>
                <w:sz w:val="20"/>
              </w:rPr>
              <w:t>**Features Activated**</w:t>
            </w:r>
          </w:p>
        </w:tc>
        <w:tc>
          <w:tcPr>
            <w:tcW w:type="dxa" w:w="4968"/>
            <w:shd w:val="clear" w:color="auto" w:fill="F8FAFC"/>
            <w:tcMar>
              <w:top w:w="80" w:type="dxa"/>
              <w:bottom w:w="80" w:type="dxa"/>
              <w:left w:w="140" w:type="dxa"/>
              <w:right w:w="140" w:type="dxa"/>
            </w:tcMar>
          </w:tcPr>
          <w:p>
            <w:pPr>
              <w:spacing w:before="80" w:after="80" w:line="276" w:lineRule="auto"/>
            </w:pPr>
            <w:r>
              <w:rPr>
                <w:color w:val="1E293B"/>
                <w:sz w:val="20"/>
              </w:rPr>
              <w:t>**Gravity Stacking** (slot compaction); **Lunch Firewall** (provider rest protection); real-time appointment-yield optimization on the Kvann Tetris dashboard</w:t>
            </w:r>
          </w:p>
        </w:tc>
      </w:tr>
      <w:tr>
        <w:tc>
          <w:tcPr>
            <w:tcW w:type="dxa" w:w="4968"/>
            <w:shd w:val="clear" w:color="auto" w:fill="FFFFFF"/>
            <w:tcMar>
              <w:top w:w="80" w:type="dxa"/>
              <w:bottom w:w="80" w:type="dxa"/>
              <w:left w:w="140" w:type="dxa"/>
              <w:right w:w="140" w:type="dxa"/>
            </w:tcMar>
          </w:tcPr>
          <w:p>
            <w:pPr>
              <w:spacing w:before="80" w:after="80" w:line="276" w:lineRule="auto"/>
            </w:pPr>
            <w:r>
              <w:rPr>
                <w:color w:val="1E293B"/>
                <w:sz w:val="20"/>
              </w:rPr>
              <w:t>**Explicit Boundary**</w:t>
            </w:r>
          </w:p>
        </w:tc>
        <w:tc>
          <w:tcPr>
            <w:tcW w:type="dxa" w:w="4968"/>
            <w:shd w:val="clear" w:color="auto" w:fill="FFFFFF"/>
            <w:tcMar>
              <w:top w:w="80" w:type="dxa"/>
              <w:bottom w:w="80" w:type="dxa"/>
              <w:left w:w="140" w:type="dxa"/>
              <w:right w:w="140" w:type="dxa"/>
            </w:tcMar>
          </w:tcPr>
          <w:p>
            <w:pPr>
              <w:spacing w:before="80" w:after="80" w:line="276" w:lineRule="auto"/>
            </w:pPr>
            <w:r>
              <w:rPr>
                <w:color w:val="1E293B"/>
                <w:sz w:val="20"/>
              </w:rPr>
              <w:t>**Staff-facing only.** Zero patient-facing interface. Zero clinical diagnostic claims. No changes to clinical documentation workflows.</w:t>
            </w:r>
          </w:p>
        </w:tc>
      </w:tr>
    </w:tbl>
    <w:p>
      <w:pPr>
        <w:spacing w:before="0" w:after="120"/>
      </w:pPr>
    </w:p>
    <w:p>
      <w:pPr>
        <w:spacing w:before="60" w:after="80"/>
      </w:pPr>
      <w:r/>
      <w:r>
        <w:rPr>
          <w:b/>
        </w:rPr>
        <w:t>Implementation Phases (all inside the 90-day / 12-week pilot window):</w:t>
      </w:r>
      <w:r/>
    </w:p>
    <w:tbl>
      <w:tblPr>
        <w:tblW w:type="auto" w:w="0"/>
        <w:jc w:val="center"/>
        <w:tblLayout w:type="autofit"/>
        <w:tblLook w:firstColumn="1" w:firstRow="1" w:lastColumn="0" w:lastRow="0" w:noHBand="0" w:noVBand="1" w:val="04A0"/>
      </w:tblPr>
      <w:tblGrid>
        <w:gridCol w:w="3312"/>
        <w:gridCol w:w="3312"/>
        <w:gridCol w:w="3312"/>
      </w:tblGrid>
      <w:tr>
        <w:tc>
          <w:tcPr>
            <w:tcW w:type="dxa" w:w="3312"/>
            <w:shd w:val="clear" w:color="auto" w:fill="0F172A"/>
            <w:tcMar>
              <w:top w:w="120" w:type="dxa"/>
              <w:bottom w:w="120" w:type="dxa"/>
              <w:left w:w="140" w:type="dxa"/>
              <w:right w:w="140" w:type="dxa"/>
            </w:tcMar>
          </w:tcPr>
          <w:p>
            <w:pPr>
              <w:spacing w:before="80" w:after="80" w:line="276" w:lineRule="auto"/>
            </w:pPr>
            <w:r>
              <w:rPr>
                <w:b/>
                <w:color w:val="FFFFFF"/>
                <w:sz w:val="20"/>
              </w:rPr>
              <w:t>Phase</w:t>
            </w:r>
          </w:p>
        </w:tc>
        <w:tc>
          <w:tcPr>
            <w:tcW w:type="dxa" w:w="3312"/>
            <w:shd w:val="clear" w:color="auto" w:fill="0F172A"/>
            <w:tcMar>
              <w:top w:w="120" w:type="dxa"/>
              <w:bottom w:w="120" w:type="dxa"/>
              <w:left w:w="140" w:type="dxa"/>
              <w:right w:w="140" w:type="dxa"/>
            </w:tcMar>
          </w:tcPr>
          <w:p>
            <w:pPr>
              <w:spacing w:before="80" w:after="80" w:line="276" w:lineRule="auto"/>
            </w:pPr>
            <w:r>
              <w:rPr>
                <w:b/>
                <w:color w:val="FFFFFF"/>
                <w:sz w:val="20"/>
              </w:rPr>
              <w:t>Weeks</w:t>
            </w:r>
          </w:p>
        </w:tc>
        <w:tc>
          <w:tcPr>
            <w:tcW w:type="dxa" w:w="3312"/>
            <w:shd w:val="clear" w:color="auto" w:fill="0F172A"/>
            <w:tcMar>
              <w:top w:w="120" w:type="dxa"/>
              <w:bottom w:w="120" w:type="dxa"/>
              <w:left w:w="140" w:type="dxa"/>
              <w:right w:w="140" w:type="dxa"/>
            </w:tcMar>
          </w:tcPr>
          <w:p>
            <w:pPr>
              <w:spacing w:before="80" w:after="80" w:line="276" w:lineRule="auto"/>
            </w:pPr>
            <w:r>
              <w:rPr>
                <w:b/>
                <w:color w:val="FFFFFF"/>
                <w:sz w:val="20"/>
              </w:rPr>
              <w:t>Content &amp; Milestones</w:t>
            </w:r>
          </w:p>
        </w:tc>
      </w:tr>
      <w:tr>
        <w:tc>
          <w:tcPr>
            <w:tcW w:type="dxa" w:w="3312"/>
            <w:shd w:val="clear" w:color="auto" w:fill="F8FAFC"/>
            <w:tcMar>
              <w:top w:w="80" w:type="dxa"/>
              <w:bottom w:w="80" w:type="dxa"/>
              <w:left w:w="140" w:type="dxa"/>
              <w:right w:w="140" w:type="dxa"/>
            </w:tcMar>
          </w:tcPr>
          <w:p>
            <w:pPr>
              <w:spacing w:before="80" w:after="80" w:line="276" w:lineRule="auto"/>
            </w:pPr>
            <w:r>
              <w:rPr>
                <w:color w:val="1E293B"/>
                <w:sz w:val="20"/>
              </w:rPr>
              <w:t>**1 — Handshake**</w:t>
            </w:r>
          </w:p>
        </w:tc>
        <w:tc>
          <w:tcPr>
            <w:tcW w:type="dxa" w:w="3312"/>
            <w:shd w:val="clear" w:color="auto" w:fill="F8FAFC"/>
            <w:tcMar>
              <w:top w:w="80" w:type="dxa"/>
              <w:bottom w:w="80" w:type="dxa"/>
              <w:left w:w="140" w:type="dxa"/>
              <w:right w:w="140" w:type="dxa"/>
            </w:tcMar>
          </w:tcPr>
          <w:p>
            <w:pPr>
              <w:spacing w:before="80" w:after="80" w:line="276" w:lineRule="auto"/>
            </w:pPr>
            <w:r>
              <w:rPr>
                <w:color w:val="1E293B"/>
                <w:sz w:val="20"/>
              </w:rPr>
              <w:t>1–2</w:t>
            </w:r>
          </w:p>
        </w:tc>
        <w:tc>
          <w:tcPr>
            <w:tcW w:type="dxa" w:w="3312"/>
            <w:shd w:val="clear" w:color="auto" w:fill="F8FAFC"/>
            <w:tcMar>
              <w:top w:w="80" w:type="dxa"/>
              <w:bottom w:w="80" w:type="dxa"/>
              <w:left w:w="140" w:type="dxa"/>
              <w:right w:w="140" w:type="dxa"/>
            </w:tcMar>
          </w:tcPr>
          <w:p>
            <w:pPr>
              <w:spacing w:before="80" w:after="80" w:line="276" w:lineRule="auto"/>
            </w:pPr>
            <w:r>
              <w:rPr>
                <w:color w:val="1E293B"/>
                <w:sz w:val="20"/>
              </w:rPr>
              <w:t>Secure schedule-feed ingestion (Section 2 modes); credential verification</w:t>
            </w:r>
          </w:p>
        </w:tc>
      </w:tr>
      <w:tr>
        <w:tc>
          <w:tcPr>
            <w:tcW w:type="dxa" w:w="3312"/>
            <w:shd w:val="clear" w:color="auto" w:fill="FFFFFF"/>
            <w:tcMar>
              <w:top w:w="80" w:type="dxa"/>
              <w:bottom w:w="80" w:type="dxa"/>
              <w:left w:w="140" w:type="dxa"/>
              <w:right w:w="140" w:type="dxa"/>
            </w:tcMar>
          </w:tcPr>
          <w:p>
            <w:pPr>
              <w:spacing w:before="80" w:after="80" w:line="276" w:lineRule="auto"/>
            </w:pPr>
            <w:r>
              <w:rPr>
                <w:color w:val="1E293B"/>
                <w:sz w:val="20"/>
              </w:rPr>
              <w:t>**2 — Calibrate**</w:t>
            </w:r>
          </w:p>
        </w:tc>
        <w:tc>
          <w:tcPr>
            <w:tcW w:type="dxa" w:w="3312"/>
            <w:shd w:val="clear" w:color="auto" w:fill="FFFFFF"/>
            <w:tcMar>
              <w:top w:w="80" w:type="dxa"/>
              <w:bottom w:w="80" w:type="dxa"/>
              <w:left w:w="140" w:type="dxa"/>
              <w:right w:w="140" w:type="dxa"/>
            </w:tcMar>
          </w:tcPr>
          <w:p>
            <w:pPr>
              <w:spacing w:before="80" w:after="80" w:line="276" w:lineRule="auto"/>
            </w:pPr>
            <w:r>
              <w:rPr>
                <w:color w:val="1E293B"/>
                <w:sz w:val="20"/>
              </w:rPr>
              <w:t>3–4</w:t>
            </w:r>
          </w:p>
        </w:tc>
        <w:tc>
          <w:tcPr>
            <w:tcW w:type="dxa" w:w="3312"/>
            <w:shd w:val="clear" w:color="auto" w:fill="FFFFFF"/>
            <w:tcMar>
              <w:top w:w="80" w:type="dxa"/>
              <w:bottom w:w="80" w:type="dxa"/>
              <w:left w:w="140" w:type="dxa"/>
              <w:right w:w="140" w:type="dxa"/>
            </w:tcMar>
          </w:tcPr>
          <w:p>
            <w:pPr>
              <w:spacing w:before="80" w:after="80" w:line="276" w:lineRule="auto"/>
            </w:pPr>
            <w:r>
              <w:rPr>
                <w:color w:val="1E293B"/>
                <w:sz w:val="20"/>
              </w:rPr>
              <w:t>Provider preference tuning; baseline lock &amp; **First Density Report** at Week 3</w:t>
            </w:r>
          </w:p>
        </w:tc>
      </w:tr>
      <w:tr>
        <w:tc>
          <w:tcPr>
            <w:tcW w:type="dxa" w:w="3312"/>
            <w:shd w:val="clear" w:color="auto" w:fill="F8FAFC"/>
            <w:tcMar>
              <w:top w:w="80" w:type="dxa"/>
              <w:bottom w:w="80" w:type="dxa"/>
              <w:left w:w="140" w:type="dxa"/>
              <w:right w:w="140" w:type="dxa"/>
            </w:tcMar>
          </w:tcPr>
          <w:p>
            <w:pPr>
              <w:spacing w:before="80" w:after="80" w:line="276" w:lineRule="auto"/>
            </w:pPr>
            <w:r>
              <w:rPr>
                <w:color w:val="1E293B"/>
                <w:sz w:val="20"/>
              </w:rPr>
              <w:t>**3 — Live Operation**</w:t>
            </w:r>
          </w:p>
        </w:tc>
        <w:tc>
          <w:tcPr>
            <w:tcW w:type="dxa" w:w="3312"/>
            <w:shd w:val="clear" w:color="auto" w:fill="F8FAFC"/>
            <w:tcMar>
              <w:top w:w="80" w:type="dxa"/>
              <w:bottom w:w="80" w:type="dxa"/>
              <w:left w:w="140" w:type="dxa"/>
              <w:right w:w="140" w:type="dxa"/>
            </w:tcMar>
          </w:tcPr>
          <w:p>
            <w:pPr>
              <w:spacing w:before="80" w:after="80" w:line="276" w:lineRule="auto"/>
            </w:pPr>
            <w:r>
              <w:rPr>
                <w:color w:val="1E293B"/>
                <w:sz w:val="20"/>
              </w:rPr>
              <w:t>5–10</w:t>
            </w:r>
          </w:p>
        </w:tc>
        <w:tc>
          <w:tcPr>
            <w:tcW w:type="dxa" w:w="3312"/>
            <w:shd w:val="clear" w:color="auto" w:fill="F8FAFC"/>
            <w:tcMar>
              <w:top w:w="80" w:type="dxa"/>
              <w:bottom w:w="80" w:type="dxa"/>
              <w:left w:w="140" w:type="dxa"/>
              <w:right w:w="140" w:type="dxa"/>
            </w:tcMar>
          </w:tcPr>
          <w:p>
            <w:pPr>
              <w:spacing w:before="80" w:after="80" w:line="276" w:lineRule="auto"/>
            </w:pPr>
            <w:r>
              <w:rPr>
                <w:color w:val="1E293B"/>
                <w:sz w:val="20"/>
              </w:rPr>
              <w:t>6 weeks of active staff-facing assisted compaction; weekly density reporting</w:t>
            </w:r>
          </w:p>
        </w:tc>
      </w:tr>
      <w:tr>
        <w:tc>
          <w:tcPr>
            <w:tcW w:type="dxa" w:w="3312"/>
            <w:shd w:val="clear" w:color="auto" w:fill="FFFFFF"/>
            <w:tcMar>
              <w:top w:w="80" w:type="dxa"/>
              <w:bottom w:w="80" w:type="dxa"/>
              <w:left w:w="140" w:type="dxa"/>
              <w:right w:w="140" w:type="dxa"/>
            </w:tcMar>
          </w:tcPr>
          <w:p>
            <w:pPr>
              <w:spacing w:before="80" w:after="80" w:line="276" w:lineRule="auto"/>
            </w:pPr>
            <w:r>
              <w:rPr>
                <w:color w:val="1E293B"/>
                <w:sz w:val="20"/>
              </w:rPr>
              <w:t>**4 — Evaluation**</w:t>
            </w:r>
          </w:p>
        </w:tc>
        <w:tc>
          <w:tcPr>
            <w:tcW w:type="dxa" w:w="3312"/>
            <w:shd w:val="clear" w:color="auto" w:fill="FFFFFF"/>
            <w:tcMar>
              <w:top w:w="80" w:type="dxa"/>
              <w:bottom w:w="80" w:type="dxa"/>
              <w:left w:w="140" w:type="dxa"/>
              <w:right w:w="140" w:type="dxa"/>
            </w:tcMar>
          </w:tcPr>
          <w:p>
            <w:pPr>
              <w:spacing w:before="80" w:after="80" w:line="276" w:lineRule="auto"/>
            </w:pPr>
            <w:r>
              <w:rPr>
                <w:color w:val="1E293B"/>
                <w:sz w:val="20"/>
              </w:rPr>
              <w:t>11–12</w:t>
            </w:r>
          </w:p>
        </w:tc>
        <w:tc>
          <w:tcPr>
            <w:tcW w:type="dxa" w:w="3312"/>
            <w:shd w:val="clear" w:color="auto" w:fill="FFFFFF"/>
            <w:tcMar>
              <w:top w:w="80" w:type="dxa"/>
              <w:bottom w:w="80" w:type="dxa"/>
              <w:left w:w="140" w:type="dxa"/>
              <w:right w:w="140" w:type="dxa"/>
            </w:tcMar>
          </w:tcPr>
          <w:p>
            <w:pPr>
              <w:spacing w:before="80" w:after="80" w:line="276" w:lineRule="auto"/>
            </w:pPr>
            <w:r>
              <w:rPr>
                <w:color w:val="1E293B"/>
                <w:sz w:val="20"/>
              </w:rPr>
              <w:t>Outcome reporting against locked baseline; executive briefing with Dr. Mendenhall</w:t>
            </w:r>
          </w:p>
        </w:tc>
      </w:tr>
    </w:tbl>
    <w:p>
      <w:pPr>
        <w:spacing w:before="0" w:after="120"/>
      </w:pPr>
    </w:p>
    <w:p>
      <w:pPr>
        <w:spacing w:before="60" w:after="80"/>
      </w:pPr>
      <w:r>
        <w:t>*Note: Pre-Day-0 Phase 0 (synthetic-data calibration) begins immediately upon signature and requires zero CCC data.*</w:t>
      </w:r>
    </w:p>
    <w:p>
      <w:pPr>
        <w:spacing w:before="280" w:after="80"/>
      </w:pPr>
      <w:r>
        <w:rPr>
          <w:rFonts w:ascii="Calibri" w:hAnsi="Calibri"/>
          <w:b/>
          <w:color w:val="0D9488"/>
          <w:sz w:val="30"/>
        </w:rPr>
        <w:t>Section 2: Dual Integration Operating Modes (Guaranteed Day-1 Value)</w:t>
      </w:r>
    </w:p>
    <w:p>
      <w:pPr>
        <w:spacing w:before="60" w:after="80"/>
      </w:pPr>
      <w:r>
        <w:t xml:space="preserve">CCC operates on a </w:t>
      </w:r>
      <w:r>
        <w:rPr>
          <w:b/>
        </w:rPr>
        <w:t>hosted Epic EHR environment</w:t>
      </w:r>
      <w:r>
        <w:t>. We recognize that third-party application integration in hosted networks proceeds through established client change-control processes, coordinated by CCC's technical liaison, and that external review queues — not technology — are typically the pacing item.</w:t>
      </w:r>
    </w:p>
    <w:p>
      <w:pPr>
        <w:spacing w:before="60" w:after="80"/>
      </w:pPr>
      <w:r>
        <w:t xml:space="preserve">The pilot is therefore engineered with </w:t>
      </w:r>
      <w:r>
        <w:rPr>
          <w:b/>
        </w:rPr>
        <w:t>two operating modes</w:t>
      </w:r>
      <w:r>
        <w:t xml:space="preserve"> so that external queues can never block clinical value:</w:t>
      </w:r>
    </w:p>
    <w:tbl>
      <w:tblPr>
        <w:tblW w:type="auto" w:w="0"/>
        <w:jc w:val="center"/>
        <w:tblLayout w:type="autofit"/>
        <w:tblLook w:firstColumn="1" w:firstRow="1" w:lastColumn="0" w:lastRow="0" w:noHBand="0" w:noVBand="1" w:val="04A0"/>
      </w:tblPr>
      <w:tblGrid>
        <w:gridCol w:w="3312"/>
        <w:gridCol w:w="3312"/>
        <w:gridCol w:w="3312"/>
      </w:tblGrid>
      <w:tr>
        <w:tc>
          <w:tcPr>
            <w:tcW w:type="dxa" w:w="3312"/>
            <w:shd w:val="clear" w:color="auto" w:fill="0F172A"/>
            <w:tcMar>
              <w:top w:w="120" w:type="dxa"/>
              <w:bottom w:w="120" w:type="dxa"/>
              <w:left w:w="140" w:type="dxa"/>
              <w:right w:w="140" w:type="dxa"/>
            </w:tcMar>
          </w:tcPr>
          <w:p>
            <w:pPr>
              <w:spacing w:before="80" w:after="80" w:line="276" w:lineRule="auto"/>
            </w:pPr>
            <w:r>
              <w:rPr>
                <w:b/>
                <w:color w:val="FFFFFF"/>
                <w:sz w:val="20"/>
              </w:rPr>
              <w:t>Feature / Dimension</w:t>
            </w:r>
          </w:p>
        </w:tc>
        <w:tc>
          <w:tcPr>
            <w:tcW w:type="dxa" w:w="3312"/>
            <w:shd w:val="clear" w:color="auto" w:fill="0F172A"/>
            <w:tcMar>
              <w:top w:w="120" w:type="dxa"/>
              <w:bottom w:w="120" w:type="dxa"/>
              <w:left w:w="140" w:type="dxa"/>
              <w:right w:w="140" w:type="dxa"/>
            </w:tcMar>
          </w:tcPr>
          <w:p>
            <w:pPr>
              <w:spacing w:before="80" w:after="80" w:line="276" w:lineRule="auto"/>
            </w:pPr>
            <w:r>
              <w:rPr>
                <w:b/>
                <w:color w:val="FFFFFF"/>
                <w:sz w:val="20"/>
              </w:rPr>
              <w:t>**Mode A — Integrated Epic Operation** *(Standard Target Path)*</w:t>
            </w:r>
          </w:p>
        </w:tc>
        <w:tc>
          <w:tcPr>
            <w:tcW w:type="dxa" w:w="3312"/>
            <w:shd w:val="clear" w:color="auto" w:fill="0F172A"/>
            <w:tcMar>
              <w:top w:w="120" w:type="dxa"/>
              <w:bottom w:w="120" w:type="dxa"/>
              <w:left w:w="140" w:type="dxa"/>
              <w:right w:w="140" w:type="dxa"/>
            </w:tcMar>
          </w:tcPr>
          <w:p>
            <w:pPr>
              <w:spacing w:before="80" w:after="80" w:line="276" w:lineRule="auto"/>
            </w:pPr>
            <w:r>
              <w:rPr>
                <w:b/>
                <w:color w:val="FFFFFF"/>
                <w:sz w:val="20"/>
              </w:rPr>
              <w:t>**Mode B — Assisted Export Operation** *(Day-1 Value Tier)*</w:t>
            </w:r>
          </w:p>
        </w:tc>
      </w:tr>
      <w:tr>
        <w:tc>
          <w:tcPr>
            <w:tcW w:type="dxa" w:w="3312"/>
            <w:shd w:val="clear" w:color="auto" w:fill="F8FAFC"/>
            <w:tcMar>
              <w:top w:w="80" w:type="dxa"/>
              <w:bottom w:w="80" w:type="dxa"/>
              <w:left w:w="140" w:type="dxa"/>
              <w:right w:w="140" w:type="dxa"/>
            </w:tcMar>
          </w:tcPr>
          <w:p>
            <w:pPr>
              <w:spacing w:before="80" w:after="80" w:line="276" w:lineRule="auto"/>
            </w:pPr>
            <w:r>
              <w:rPr>
                <w:color w:val="1E293B"/>
                <w:sz w:val="20"/>
              </w:rPr>
              <w:t>**Trigger**</w:t>
            </w:r>
          </w:p>
        </w:tc>
        <w:tc>
          <w:tcPr>
            <w:tcW w:type="dxa" w:w="3312"/>
            <w:shd w:val="clear" w:color="auto" w:fill="F8FAFC"/>
            <w:tcMar>
              <w:top w:w="80" w:type="dxa"/>
              <w:bottom w:w="80" w:type="dxa"/>
              <w:left w:w="140" w:type="dxa"/>
              <w:right w:w="140" w:type="dxa"/>
            </w:tcMar>
          </w:tcPr>
          <w:p>
            <w:pPr>
              <w:spacing w:before="80" w:after="80" w:line="276" w:lineRule="auto"/>
            </w:pPr>
            <w:r>
              <w:rPr>
                <w:color w:val="1E293B"/>
                <w:sz w:val="20"/>
              </w:rPr>
              <w:t>Standard change-control approved within timeline</w:t>
            </w:r>
          </w:p>
        </w:tc>
        <w:tc>
          <w:tcPr>
            <w:tcW w:type="dxa" w:w="3312"/>
            <w:shd w:val="clear" w:color="auto" w:fill="F8FAFC"/>
            <w:tcMar>
              <w:top w:w="80" w:type="dxa"/>
              <w:bottom w:w="80" w:type="dxa"/>
              <w:left w:w="140" w:type="dxa"/>
              <w:right w:w="140" w:type="dxa"/>
            </w:tcMar>
          </w:tcPr>
          <w:p>
            <w:pPr>
              <w:spacing w:before="80" w:after="80" w:line="276" w:lineRule="auto"/>
            </w:pPr>
            <w:r>
              <w:rPr>
                <w:color w:val="1E293B"/>
                <w:sz w:val="20"/>
              </w:rPr>
              <w:t>External approval pending or delayed</w:t>
            </w:r>
          </w:p>
        </w:tc>
      </w:tr>
      <w:tr>
        <w:tc>
          <w:tcPr>
            <w:tcW w:type="dxa" w:w="3312"/>
            <w:shd w:val="clear" w:color="auto" w:fill="FFFFFF"/>
            <w:tcMar>
              <w:top w:w="80" w:type="dxa"/>
              <w:bottom w:w="80" w:type="dxa"/>
              <w:left w:w="140" w:type="dxa"/>
              <w:right w:w="140" w:type="dxa"/>
            </w:tcMar>
          </w:tcPr>
          <w:p>
            <w:pPr>
              <w:spacing w:before="80" w:after="80" w:line="276" w:lineRule="auto"/>
            </w:pPr>
            <w:r>
              <w:rPr>
                <w:color w:val="1E293B"/>
                <w:sz w:val="20"/>
              </w:rPr>
              <w:t>**Data path**</w:t>
            </w:r>
          </w:p>
        </w:tc>
        <w:tc>
          <w:tcPr>
            <w:tcW w:type="dxa" w:w="3312"/>
            <w:shd w:val="clear" w:color="auto" w:fill="FFFFFF"/>
            <w:tcMar>
              <w:top w:w="80" w:type="dxa"/>
              <w:bottom w:w="80" w:type="dxa"/>
              <w:left w:w="140" w:type="dxa"/>
              <w:right w:w="140" w:type="dxa"/>
            </w:tcMar>
          </w:tcPr>
          <w:p>
            <w:pPr>
              <w:spacing w:before="80" w:after="80" w:line="276" w:lineRule="auto"/>
            </w:pPr>
            <w:r>
              <w:rPr>
                <w:color w:val="1E293B"/>
                <w:sz w:val="20"/>
              </w:rPr>
              <w:t>FHIR-based schedule feed via approved integration</w:t>
            </w:r>
          </w:p>
        </w:tc>
        <w:tc>
          <w:tcPr>
            <w:tcW w:type="dxa" w:w="3312"/>
            <w:shd w:val="clear" w:color="auto" w:fill="FFFFFF"/>
            <w:tcMar>
              <w:top w:w="80" w:type="dxa"/>
              <w:bottom w:w="80" w:type="dxa"/>
              <w:left w:w="140" w:type="dxa"/>
              <w:right w:w="140" w:type="dxa"/>
            </w:tcMar>
          </w:tcPr>
          <w:p>
            <w:pPr>
              <w:spacing w:before="80" w:after="80" w:line="276" w:lineRule="auto"/>
            </w:pPr>
            <w:r>
              <w:rPr>
                <w:color w:val="1E293B"/>
                <w:sz w:val="20"/>
              </w:rPr>
              <w:t>Secure daily schedule report export (CSV) by clinic staff</w:t>
            </w:r>
          </w:p>
        </w:tc>
      </w:tr>
      <w:tr>
        <w:tc>
          <w:tcPr>
            <w:tcW w:type="dxa" w:w="3312"/>
            <w:shd w:val="clear" w:color="auto" w:fill="F8FAFC"/>
            <w:tcMar>
              <w:top w:w="80" w:type="dxa"/>
              <w:bottom w:w="80" w:type="dxa"/>
              <w:left w:w="140" w:type="dxa"/>
              <w:right w:w="140" w:type="dxa"/>
            </w:tcMar>
          </w:tcPr>
          <w:p>
            <w:pPr>
              <w:spacing w:before="80" w:after="80" w:line="276" w:lineRule="auto"/>
            </w:pPr>
            <w:r>
              <w:rPr>
                <w:color w:val="1E293B"/>
                <w:sz w:val="20"/>
              </w:rPr>
              <w:t>**Staff experience**</w:t>
            </w:r>
          </w:p>
        </w:tc>
        <w:tc>
          <w:tcPr>
            <w:tcW w:type="dxa" w:w="3312"/>
            <w:shd w:val="clear" w:color="auto" w:fill="F8FAFC"/>
            <w:tcMar>
              <w:top w:w="80" w:type="dxa"/>
              <w:bottom w:w="80" w:type="dxa"/>
              <w:left w:w="140" w:type="dxa"/>
              <w:right w:w="140" w:type="dxa"/>
            </w:tcMar>
          </w:tcPr>
          <w:p>
            <w:pPr>
              <w:spacing w:before="80" w:after="80" w:line="276" w:lineRule="auto"/>
            </w:pPr>
            <w:r>
              <w:rPr>
                <w:color w:val="1E293B"/>
                <w:sz w:val="20"/>
              </w:rPr>
              <w:t>Recommendations assist front-desk/scheduling staff directly within Epic Cadence-aligned workflows</w:t>
            </w:r>
          </w:p>
        </w:tc>
        <w:tc>
          <w:tcPr>
            <w:tcW w:type="dxa" w:w="3312"/>
            <w:shd w:val="clear" w:color="auto" w:fill="F8FAFC"/>
            <w:tcMar>
              <w:top w:w="80" w:type="dxa"/>
              <w:bottom w:w="80" w:type="dxa"/>
              <w:left w:w="140" w:type="dxa"/>
              <w:right w:w="140" w:type="dxa"/>
            </w:tcMar>
          </w:tcPr>
          <w:p>
            <w:pPr>
              <w:spacing w:before="80" w:after="80" w:line="276" w:lineRule="auto"/>
            </w:pPr>
            <w:r>
              <w:rPr>
                <w:color w:val="1E293B"/>
                <w:sz w:val="20"/>
              </w:rPr>
              <w:t>Optimized slot recommendations presented on the Kvann Tetris dashboard; staff execute manually in Epic</w:t>
            </w:r>
          </w:p>
        </w:tc>
      </w:tr>
      <w:tr>
        <w:tc>
          <w:tcPr>
            <w:tcW w:type="dxa" w:w="3312"/>
            <w:shd w:val="clear" w:color="auto" w:fill="FFFFFF"/>
            <w:tcMar>
              <w:top w:w="80" w:type="dxa"/>
              <w:bottom w:w="80" w:type="dxa"/>
              <w:left w:w="140" w:type="dxa"/>
              <w:right w:w="140" w:type="dxa"/>
            </w:tcMar>
          </w:tcPr>
          <w:p>
            <w:pPr>
              <w:spacing w:before="80" w:after="80" w:line="276" w:lineRule="auto"/>
            </w:pPr>
            <w:r>
              <w:rPr>
                <w:color w:val="1E293B"/>
                <w:sz w:val="20"/>
              </w:rPr>
              <w:t>**Write-back**</w:t>
            </w:r>
          </w:p>
        </w:tc>
        <w:tc>
          <w:tcPr>
            <w:tcW w:type="dxa" w:w="3312"/>
            <w:shd w:val="clear" w:color="auto" w:fill="FFFFFF"/>
            <w:tcMar>
              <w:top w:w="80" w:type="dxa"/>
              <w:bottom w:w="80" w:type="dxa"/>
              <w:left w:w="140" w:type="dxa"/>
              <w:right w:w="140" w:type="dxa"/>
            </w:tcMar>
          </w:tcPr>
          <w:p>
            <w:pPr>
              <w:spacing w:before="80" w:after="80" w:line="276" w:lineRule="auto"/>
            </w:pPr>
            <w:r>
              <w:rPr>
                <w:color w:val="1E293B"/>
                <w:sz w:val="20"/>
              </w:rPr>
              <w:t>Restricted strictly to FHIR `Appointment` resource (see "Iron Rule," Section 6)</w:t>
            </w:r>
          </w:p>
        </w:tc>
        <w:tc>
          <w:tcPr>
            <w:tcW w:type="dxa" w:w="3312"/>
            <w:shd w:val="clear" w:color="auto" w:fill="FFFFFF"/>
            <w:tcMar>
              <w:top w:w="80" w:type="dxa"/>
              <w:bottom w:w="80" w:type="dxa"/>
              <w:left w:w="140" w:type="dxa"/>
              <w:right w:w="140" w:type="dxa"/>
            </w:tcMar>
          </w:tcPr>
          <w:p>
            <w:pPr>
              <w:spacing w:before="80" w:after="80" w:line="276" w:lineRule="auto"/>
            </w:pPr>
            <w:r>
              <w:rPr>
                <w:color w:val="1E293B"/>
                <w:sz w:val="20"/>
              </w:rPr>
              <w:t>None — 100% read-only by construction</w:t>
            </w:r>
          </w:p>
        </w:tc>
      </w:tr>
      <w:tr>
        <w:tc>
          <w:tcPr>
            <w:tcW w:type="dxa" w:w="3312"/>
            <w:shd w:val="clear" w:color="auto" w:fill="F8FAFC"/>
            <w:tcMar>
              <w:top w:w="80" w:type="dxa"/>
              <w:bottom w:w="80" w:type="dxa"/>
              <w:left w:w="140" w:type="dxa"/>
              <w:right w:w="140" w:type="dxa"/>
            </w:tcMar>
          </w:tcPr>
          <w:p>
            <w:pPr>
              <w:spacing w:before="80" w:after="80" w:line="276" w:lineRule="auto"/>
            </w:pPr>
            <w:r>
              <w:rPr>
                <w:color w:val="1E293B"/>
                <w:sz w:val="20"/>
              </w:rPr>
              <w:t>**Value guarantee**</w:t>
            </w:r>
          </w:p>
        </w:tc>
        <w:tc>
          <w:tcPr>
            <w:tcW w:type="dxa" w:w="3312"/>
            <w:shd w:val="clear" w:color="auto" w:fill="F8FAFC"/>
            <w:tcMar>
              <w:top w:w="80" w:type="dxa"/>
              <w:bottom w:w="80" w:type="dxa"/>
              <w:left w:w="140" w:type="dxa"/>
              <w:right w:w="140" w:type="dxa"/>
            </w:tcMar>
          </w:tcPr>
          <w:p>
            <w:pPr>
              <w:spacing w:before="80" w:after="80" w:line="276" w:lineRule="auto"/>
            </w:pPr>
            <w:r>
              <w:rPr>
                <w:color w:val="1E293B"/>
                <w:sz w:val="20"/>
              </w:rPr>
              <w:t>**Day-1 clinical value regardless of external queues** — Mode B activates immediately so the pilot clock delivers value from Week 1</w:t>
            </w:r>
          </w:p>
        </w:tc>
        <w:tc>
          <w:tcPr>
            <w:tcW w:type="dxa" w:w="3312"/>
            <w:shd w:val="clear" w:color="auto" w:fill="F8FAFC"/>
            <w:tcMar>
              <w:top w:w="80" w:type="dxa"/>
              <w:bottom w:w="80" w:type="dxa"/>
              <w:left w:w="140" w:type="dxa"/>
              <w:right w:w="140" w:type="dxa"/>
            </w:tcMar>
          </w:tcPr>
          <w:p>
            <w:pPr>
              <w:spacing w:before="80" w:after="80" w:line="276" w:lineRule="auto"/>
            </w:pPr>
            <w:r>
              <w:rPr>
                <w:color w:val="1E293B"/>
                <w:sz w:val="20"/>
              </w:rPr>
            </w:r>
          </w:p>
        </w:tc>
      </w:tr>
    </w:tbl>
    <w:p>
      <w:pPr>
        <w:spacing w:before="0" w:after="120"/>
      </w:pPr>
    </w:p>
    <w:p>
      <w:pPr>
        <w:spacing w:before="60" w:after="80"/>
      </w:pPr>
      <w:r>
        <w:t>KVANN Health will support CCC's technical liaison in preparing all change-control documentation (integration description, data-flow diagram, security posture) at no additional charge. When external credentials clear, the pilot transitions from Mode B to Mode A mid-stream without resetting the baseline or the clock.</w:t>
      </w:r>
    </w:p>
    <w:p>
      <w:pPr>
        <w:spacing w:before="280" w:after="80"/>
      </w:pPr>
      <w:r>
        <w:rPr>
          <w:rFonts w:ascii="Calibri" w:hAnsi="Calibri"/>
          <w:b/>
          <w:color w:val="0D9488"/>
          <w:sz w:val="30"/>
        </w:rPr>
        <w:t>Section 3: Client Personnel Commitments (Role-by-Role Breakdown)</w:t>
      </w:r>
    </w:p>
    <w:p>
      <w:pPr>
        <w:spacing w:before="60" w:after="80"/>
      </w:pPr>
      <w:r>
        <w:t xml:space="preserve">FQHC leadership is resource-constrained; this pilot is engineered for a </w:t>
      </w:r>
      <w:r>
        <w:rPr>
          <w:b/>
        </w:rPr>
        <w:t>lightweight footprint totaling ~20–24 hours across CCC staff over the full 90 days</w:t>
      </w:r>
      <w:r>
        <w:t>:</w:t>
      </w:r>
    </w:p>
    <w:tbl>
      <w:tblPr>
        <w:tblW w:type="auto" w:w="0"/>
        <w:jc w:val="center"/>
        <w:tblLayout w:type="autofit"/>
        <w:tblLook w:firstColumn="1" w:firstRow="1" w:lastColumn="0" w:lastRow="0" w:noHBand="0" w:noVBand="1" w:val="04A0"/>
      </w:tblPr>
      <w:tblGrid>
        <w:gridCol w:w="2484"/>
        <w:gridCol w:w="2484"/>
        <w:gridCol w:w="2484"/>
        <w:gridCol w:w="2484"/>
      </w:tblGrid>
      <w:tr>
        <w:tc>
          <w:tcPr>
            <w:tcW w:type="dxa" w:w="2484"/>
            <w:shd w:val="clear" w:color="auto" w:fill="0F172A"/>
            <w:tcMar>
              <w:top w:w="120" w:type="dxa"/>
              <w:bottom w:w="120" w:type="dxa"/>
              <w:left w:w="140" w:type="dxa"/>
              <w:right w:w="140" w:type="dxa"/>
            </w:tcMar>
          </w:tcPr>
          <w:p>
            <w:pPr>
              <w:spacing w:before="80" w:after="80" w:line="276" w:lineRule="auto"/>
            </w:pPr>
            <w:r>
              <w:rPr>
                <w:b/>
                <w:color w:val="FFFFFF"/>
                <w:sz w:val="20"/>
              </w:rPr>
              <w:t>Role / Organization</w:t>
            </w:r>
          </w:p>
        </w:tc>
        <w:tc>
          <w:tcPr>
            <w:tcW w:type="dxa" w:w="2484"/>
            <w:shd w:val="clear" w:color="auto" w:fill="0F172A"/>
            <w:tcMar>
              <w:top w:w="120" w:type="dxa"/>
              <w:bottom w:w="120" w:type="dxa"/>
              <w:left w:w="140" w:type="dxa"/>
              <w:right w:w="140" w:type="dxa"/>
            </w:tcMar>
          </w:tcPr>
          <w:p>
            <w:pPr>
              <w:spacing w:before="80" w:after="80" w:line="276" w:lineRule="auto"/>
            </w:pPr>
            <w:r>
              <w:rPr>
                <w:b/>
                <w:color w:val="FFFFFF"/>
                <w:sz w:val="20"/>
              </w:rPr>
              <w:t>Total Hours (90 days)</w:t>
            </w:r>
          </w:p>
        </w:tc>
        <w:tc>
          <w:tcPr>
            <w:tcW w:type="dxa" w:w="2484"/>
            <w:shd w:val="clear" w:color="auto" w:fill="0F172A"/>
            <w:tcMar>
              <w:top w:w="120" w:type="dxa"/>
              <w:bottom w:w="120" w:type="dxa"/>
              <w:left w:w="140" w:type="dxa"/>
              <w:right w:w="140" w:type="dxa"/>
            </w:tcMar>
          </w:tcPr>
          <w:p>
            <w:pPr>
              <w:spacing w:before="80" w:after="80" w:line="276" w:lineRule="auto"/>
            </w:pPr>
            <w:r>
              <w:rPr>
                <w:b/>
                <w:color w:val="FFFFFF"/>
                <w:sz w:val="20"/>
              </w:rPr>
              <w:t>Average Commitment</w:t>
            </w:r>
          </w:p>
        </w:tc>
        <w:tc>
          <w:tcPr>
            <w:tcW w:type="dxa" w:w="2484"/>
            <w:shd w:val="clear" w:color="auto" w:fill="0F172A"/>
            <w:tcMar>
              <w:top w:w="120" w:type="dxa"/>
              <w:bottom w:w="120" w:type="dxa"/>
              <w:left w:w="140" w:type="dxa"/>
              <w:right w:w="140" w:type="dxa"/>
            </w:tcMar>
          </w:tcPr>
          <w:p>
            <w:pPr>
              <w:spacing w:before="80" w:after="80" w:line="276" w:lineRule="auto"/>
            </w:pPr>
            <w:r>
              <w:rPr>
                <w:b/>
                <w:color w:val="FFFFFF"/>
                <w:sz w:val="20"/>
              </w:rPr>
              <w:t>Primary Activities</w:t>
            </w:r>
          </w:p>
        </w:tc>
      </w:tr>
      <w:tr>
        <w:tc>
          <w:tcPr>
            <w:tcW w:type="dxa" w:w="2484"/>
            <w:shd w:val="clear" w:color="auto" w:fill="F8FAFC"/>
            <w:tcMar>
              <w:top w:w="80" w:type="dxa"/>
              <w:bottom w:w="80" w:type="dxa"/>
              <w:left w:w="140" w:type="dxa"/>
              <w:right w:w="140" w:type="dxa"/>
            </w:tcMar>
          </w:tcPr>
          <w:p>
            <w:pPr>
              <w:spacing w:before="80" w:after="80" w:line="276" w:lineRule="auto"/>
            </w:pPr>
            <w:r>
              <w:rPr>
                <w:color w:val="1E293B"/>
                <w:sz w:val="20"/>
              </w:rPr>
              <w:t>**CCC Internal IT Liaison**</w:t>
            </w:r>
          </w:p>
        </w:tc>
        <w:tc>
          <w:tcPr>
            <w:tcW w:type="dxa" w:w="2484"/>
            <w:shd w:val="clear" w:color="auto" w:fill="F8FAFC"/>
            <w:tcMar>
              <w:top w:w="80" w:type="dxa"/>
              <w:bottom w:w="80" w:type="dxa"/>
              <w:left w:w="140" w:type="dxa"/>
              <w:right w:w="140" w:type="dxa"/>
            </w:tcMar>
          </w:tcPr>
          <w:p>
            <w:pPr>
              <w:spacing w:before="80" w:after="80" w:line="276" w:lineRule="auto"/>
            </w:pPr>
            <w:r>
              <w:rPr>
                <w:color w:val="1E293B"/>
                <w:sz w:val="20"/>
              </w:rPr>
              <w:t>**6–8 hrs**</w:t>
            </w:r>
          </w:p>
        </w:tc>
        <w:tc>
          <w:tcPr>
            <w:tcW w:type="dxa" w:w="2484"/>
            <w:shd w:val="clear" w:color="auto" w:fill="F8FAFC"/>
            <w:tcMar>
              <w:top w:w="80" w:type="dxa"/>
              <w:bottom w:w="80" w:type="dxa"/>
              <w:left w:w="140" w:type="dxa"/>
              <w:right w:w="140" w:type="dxa"/>
            </w:tcMar>
          </w:tcPr>
          <w:p>
            <w:pPr>
              <w:spacing w:before="80" w:after="80" w:line="276" w:lineRule="auto"/>
            </w:pPr>
            <w:r>
              <w:rPr>
                <w:color w:val="1E293B"/>
                <w:sz w:val="20"/>
              </w:rPr>
              <w:t>~2 hrs in Wks 1–2; then on-call</w:t>
            </w:r>
          </w:p>
        </w:tc>
        <w:tc>
          <w:tcPr>
            <w:tcW w:type="dxa" w:w="2484"/>
            <w:shd w:val="clear" w:color="auto" w:fill="F8FAFC"/>
            <w:tcMar>
              <w:top w:w="80" w:type="dxa"/>
              <w:bottom w:w="80" w:type="dxa"/>
              <w:left w:w="140" w:type="dxa"/>
              <w:right w:w="140" w:type="dxa"/>
            </w:tcMar>
          </w:tcPr>
          <w:p>
            <w:pPr>
              <w:spacing w:before="80" w:after="80" w:line="276" w:lineRule="auto"/>
            </w:pPr>
            <w:r>
              <w:rPr>
                <w:color w:val="1E293B"/>
                <w:sz w:val="20"/>
              </w:rPr>
              <w:t>Intake initiation with external hosting liaison, provider NPI alignment, connectivity sign-off</w:t>
            </w:r>
          </w:p>
        </w:tc>
      </w:tr>
      <w:tr>
        <w:tc>
          <w:tcPr>
            <w:tcW w:type="dxa" w:w="2484"/>
            <w:shd w:val="clear" w:color="auto" w:fill="FFFFFF"/>
            <w:tcMar>
              <w:top w:w="80" w:type="dxa"/>
              <w:bottom w:w="80" w:type="dxa"/>
              <w:left w:w="140" w:type="dxa"/>
              <w:right w:w="140" w:type="dxa"/>
            </w:tcMar>
          </w:tcPr>
          <w:p>
            <w:pPr>
              <w:spacing w:before="80" w:after="80" w:line="276" w:lineRule="auto"/>
            </w:pPr>
            <w:r>
              <w:rPr>
                <w:color w:val="1E293B"/>
                <w:sz w:val="20"/>
              </w:rPr>
              <w:t>**External Hosting Liaison (OCHIN)**</w:t>
            </w:r>
          </w:p>
        </w:tc>
        <w:tc>
          <w:tcPr>
            <w:tcW w:type="dxa" w:w="2484"/>
            <w:shd w:val="clear" w:color="auto" w:fill="FFFFFF"/>
            <w:tcMar>
              <w:top w:w="80" w:type="dxa"/>
              <w:bottom w:w="80" w:type="dxa"/>
              <w:left w:w="140" w:type="dxa"/>
              <w:right w:w="140" w:type="dxa"/>
            </w:tcMar>
          </w:tcPr>
          <w:p>
            <w:pPr>
              <w:spacing w:before="80" w:after="80" w:line="276" w:lineRule="auto"/>
            </w:pPr>
            <w:r>
              <w:rPr>
                <w:color w:val="1E293B"/>
                <w:sz w:val="20"/>
              </w:rPr>
              <w:t>**10–14 hrs**</w:t>
            </w:r>
          </w:p>
        </w:tc>
        <w:tc>
          <w:tcPr>
            <w:tcW w:type="dxa" w:w="2484"/>
            <w:shd w:val="clear" w:color="auto" w:fill="FFFFFF"/>
            <w:tcMar>
              <w:top w:w="80" w:type="dxa"/>
              <w:bottom w:w="80" w:type="dxa"/>
              <w:left w:w="140" w:type="dxa"/>
              <w:right w:w="140" w:type="dxa"/>
            </w:tcMar>
          </w:tcPr>
          <w:p>
            <w:pPr>
              <w:spacing w:before="80" w:after="80" w:line="276" w:lineRule="auto"/>
            </w:pPr>
            <w:r>
              <w:rPr>
                <w:color w:val="1E293B"/>
                <w:sz w:val="20"/>
              </w:rPr>
              <w:t>Wks 2–4</w:t>
            </w:r>
          </w:p>
        </w:tc>
        <w:tc>
          <w:tcPr>
            <w:tcW w:type="dxa" w:w="2484"/>
            <w:shd w:val="clear" w:color="auto" w:fill="FFFFFF"/>
            <w:tcMar>
              <w:top w:w="80" w:type="dxa"/>
              <w:bottom w:w="80" w:type="dxa"/>
              <w:left w:w="140" w:type="dxa"/>
              <w:right w:w="140" w:type="dxa"/>
            </w:tcMar>
          </w:tcPr>
          <w:p>
            <w:pPr>
              <w:spacing w:before="80" w:after="80" w:line="276" w:lineRule="auto"/>
            </w:pPr>
            <w:r>
              <w:rPr>
                <w:color w:val="1E293B"/>
                <w:sz w:val="20"/>
              </w:rPr>
              <w:t>Standardized SMART-on-FHIR app registration, JWKS binding, read-only scope provisioning</w:t>
            </w:r>
          </w:p>
        </w:tc>
      </w:tr>
      <w:tr>
        <w:tc>
          <w:tcPr>
            <w:tcW w:type="dxa" w:w="2484"/>
            <w:shd w:val="clear" w:color="auto" w:fill="F8FAFC"/>
            <w:tcMar>
              <w:top w:w="80" w:type="dxa"/>
              <w:bottom w:w="80" w:type="dxa"/>
              <w:left w:w="140" w:type="dxa"/>
              <w:right w:w="140" w:type="dxa"/>
            </w:tcMar>
          </w:tcPr>
          <w:p>
            <w:pPr>
              <w:spacing w:before="80" w:after="80" w:line="276" w:lineRule="auto"/>
            </w:pPr>
            <w:r>
              <w:rPr>
                <w:color w:val="1E293B"/>
                <w:sz w:val="20"/>
              </w:rPr>
              <w:t>**Legal &amp; Compliance**</w:t>
            </w:r>
          </w:p>
        </w:tc>
        <w:tc>
          <w:tcPr>
            <w:tcW w:type="dxa" w:w="2484"/>
            <w:shd w:val="clear" w:color="auto" w:fill="F8FAFC"/>
            <w:tcMar>
              <w:top w:w="80" w:type="dxa"/>
              <w:bottom w:w="80" w:type="dxa"/>
              <w:left w:w="140" w:type="dxa"/>
              <w:right w:w="140" w:type="dxa"/>
            </w:tcMar>
          </w:tcPr>
          <w:p>
            <w:pPr>
              <w:spacing w:before="80" w:after="80" w:line="276" w:lineRule="auto"/>
            </w:pPr>
            <w:r>
              <w:rPr>
                <w:color w:val="1E293B"/>
                <w:sz w:val="20"/>
              </w:rPr>
              <w:t>**4–6 hrs**</w:t>
            </w:r>
          </w:p>
        </w:tc>
        <w:tc>
          <w:tcPr>
            <w:tcW w:type="dxa" w:w="2484"/>
            <w:shd w:val="clear" w:color="auto" w:fill="F8FAFC"/>
            <w:tcMar>
              <w:top w:w="80" w:type="dxa"/>
              <w:bottom w:w="80" w:type="dxa"/>
              <w:left w:w="140" w:type="dxa"/>
              <w:right w:w="140" w:type="dxa"/>
            </w:tcMar>
          </w:tcPr>
          <w:p>
            <w:pPr>
              <w:spacing w:before="80" w:after="80" w:line="276" w:lineRule="auto"/>
            </w:pPr>
            <w:r>
              <w:rPr>
                <w:color w:val="1E293B"/>
                <w:sz w:val="20"/>
              </w:rPr>
              <w:t>Pre-kickoff only</w:t>
            </w:r>
          </w:p>
        </w:tc>
        <w:tc>
          <w:tcPr>
            <w:tcW w:type="dxa" w:w="2484"/>
            <w:shd w:val="clear" w:color="auto" w:fill="F8FAFC"/>
            <w:tcMar>
              <w:top w:w="80" w:type="dxa"/>
              <w:bottom w:w="80" w:type="dxa"/>
              <w:left w:w="140" w:type="dxa"/>
              <w:right w:w="140" w:type="dxa"/>
            </w:tcMar>
          </w:tcPr>
          <w:p>
            <w:pPr>
              <w:spacing w:before="80" w:after="80" w:line="276" w:lineRule="auto"/>
            </w:pPr>
            <w:r>
              <w:rPr>
                <w:color w:val="1E293B"/>
                <w:sz w:val="20"/>
              </w:rPr>
              <w:t>BAA execution, change-control review</w:t>
            </w:r>
          </w:p>
        </w:tc>
      </w:tr>
      <w:tr>
        <w:tc>
          <w:tcPr>
            <w:tcW w:type="dxa" w:w="2484"/>
            <w:shd w:val="clear" w:color="auto" w:fill="FFFFFF"/>
            <w:tcMar>
              <w:top w:w="80" w:type="dxa"/>
              <w:bottom w:w="80" w:type="dxa"/>
              <w:left w:w="140" w:type="dxa"/>
              <w:right w:w="140" w:type="dxa"/>
            </w:tcMar>
          </w:tcPr>
          <w:p>
            <w:pPr>
              <w:spacing w:before="80" w:after="80" w:line="276" w:lineRule="auto"/>
            </w:pPr>
            <w:r>
              <w:rPr>
                <w:color w:val="1E293B"/>
                <w:sz w:val="20"/>
              </w:rPr>
              <w:t>**Practice Manager**</w:t>
            </w:r>
          </w:p>
        </w:tc>
        <w:tc>
          <w:tcPr>
            <w:tcW w:type="dxa" w:w="2484"/>
            <w:shd w:val="clear" w:color="auto" w:fill="FFFFFF"/>
            <w:tcMar>
              <w:top w:w="80" w:type="dxa"/>
              <w:bottom w:w="80" w:type="dxa"/>
              <w:left w:w="140" w:type="dxa"/>
              <w:right w:w="140" w:type="dxa"/>
            </w:tcMar>
          </w:tcPr>
          <w:p>
            <w:pPr>
              <w:spacing w:before="80" w:after="80" w:line="276" w:lineRule="auto"/>
            </w:pPr>
            <w:r>
              <w:rPr>
                <w:color w:val="1E293B"/>
                <w:sz w:val="20"/>
              </w:rPr>
              <w:t>**8–10 hrs**</w:t>
            </w:r>
          </w:p>
        </w:tc>
        <w:tc>
          <w:tcPr>
            <w:tcW w:type="dxa" w:w="2484"/>
            <w:shd w:val="clear" w:color="auto" w:fill="FFFFFF"/>
            <w:tcMar>
              <w:top w:w="80" w:type="dxa"/>
              <w:bottom w:w="80" w:type="dxa"/>
              <w:left w:w="140" w:type="dxa"/>
              <w:right w:w="140" w:type="dxa"/>
            </w:tcMar>
          </w:tcPr>
          <w:p>
            <w:pPr>
              <w:spacing w:before="80" w:after="80" w:line="276" w:lineRule="auto"/>
            </w:pPr>
            <w:r>
              <w:rPr>
                <w:color w:val="1E293B"/>
                <w:sz w:val="20"/>
              </w:rPr>
              <w:t>~45 min / week</w:t>
            </w:r>
          </w:p>
        </w:tc>
        <w:tc>
          <w:tcPr>
            <w:tcW w:type="dxa" w:w="2484"/>
            <w:shd w:val="clear" w:color="auto" w:fill="FFFFFF"/>
            <w:tcMar>
              <w:top w:w="80" w:type="dxa"/>
              <w:bottom w:w="80" w:type="dxa"/>
              <w:left w:w="140" w:type="dxa"/>
              <w:right w:w="140" w:type="dxa"/>
            </w:tcMar>
          </w:tcPr>
          <w:p>
            <w:pPr>
              <w:spacing w:before="80" w:after="80" w:line="276" w:lineRule="auto"/>
            </w:pPr>
            <w:r>
              <w:rPr>
                <w:color w:val="1E293B"/>
                <w:sz w:val="20"/>
              </w:rPr>
              <w:t>Workflow calibration, front-desk staff coordination, daily operation</w:t>
            </w:r>
          </w:p>
        </w:tc>
      </w:tr>
      <w:tr>
        <w:tc>
          <w:tcPr>
            <w:tcW w:type="dxa" w:w="2484"/>
            <w:shd w:val="clear" w:color="auto" w:fill="F8FAFC"/>
            <w:tcMar>
              <w:top w:w="80" w:type="dxa"/>
              <w:bottom w:w="80" w:type="dxa"/>
              <w:left w:w="140" w:type="dxa"/>
              <w:right w:w="140" w:type="dxa"/>
            </w:tcMar>
          </w:tcPr>
          <w:p>
            <w:pPr>
              <w:spacing w:before="80" w:after="80" w:line="276" w:lineRule="auto"/>
            </w:pPr>
            <w:r>
              <w:rPr>
                <w:color w:val="1E293B"/>
                <w:sz w:val="20"/>
              </w:rPr>
              <w:t>**Clinical Lead** *(Volunteer MD)*</w:t>
            </w:r>
          </w:p>
        </w:tc>
        <w:tc>
          <w:tcPr>
            <w:tcW w:type="dxa" w:w="2484"/>
            <w:shd w:val="clear" w:color="auto" w:fill="F8FAFC"/>
            <w:tcMar>
              <w:top w:w="80" w:type="dxa"/>
              <w:bottom w:w="80" w:type="dxa"/>
              <w:left w:w="140" w:type="dxa"/>
              <w:right w:w="140" w:type="dxa"/>
            </w:tcMar>
          </w:tcPr>
          <w:p>
            <w:pPr>
              <w:spacing w:before="80" w:after="80" w:line="276" w:lineRule="auto"/>
            </w:pPr>
            <w:r>
              <w:rPr>
                <w:color w:val="1E293B"/>
                <w:sz w:val="20"/>
              </w:rPr>
              <w:t>**4–6 hrs**</w:t>
            </w:r>
          </w:p>
        </w:tc>
        <w:tc>
          <w:tcPr>
            <w:tcW w:type="dxa" w:w="2484"/>
            <w:shd w:val="clear" w:color="auto" w:fill="F8FAFC"/>
            <w:tcMar>
              <w:top w:w="80" w:type="dxa"/>
              <w:bottom w:w="80" w:type="dxa"/>
              <w:left w:w="140" w:type="dxa"/>
              <w:right w:w="140" w:type="dxa"/>
            </w:tcMar>
          </w:tcPr>
          <w:p>
            <w:pPr>
              <w:spacing w:before="80" w:after="80" w:line="276" w:lineRule="auto"/>
            </w:pPr>
            <w:r>
              <w:rPr>
                <w:color w:val="1E293B"/>
                <w:sz w:val="20"/>
              </w:rPr>
              <w:t>~30 min / 2 weeks</w:t>
            </w:r>
          </w:p>
        </w:tc>
        <w:tc>
          <w:tcPr>
            <w:tcW w:type="dxa" w:w="2484"/>
            <w:shd w:val="clear" w:color="auto" w:fill="F8FAFC"/>
            <w:tcMar>
              <w:top w:w="80" w:type="dxa"/>
              <w:bottom w:w="80" w:type="dxa"/>
              <w:left w:w="140" w:type="dxa"/>
              <w:right w:w="140" w:type="dxa"/>
            </w:tcMar>
          </w:tcPr>
          <w:p>
            <w:pPr>
              <w:spacing w:before="80" w:after="80" w:line="276" w:lineRule="auto"/>
            </w:pPr>
            <w:r>
              <w:rPr>
                <w:color w:val="1E293B"/>
                <w:sz w:val="20"/>
              </w:rPr>
              <w:t>Preference tuning, Lunch Firewall review, clinical safety oversight</w:t>
            </w:r>
          </w:p>
        </w:tc>
      </w:tr>
      <w:tr>
        <w:tc>
          <w:tcPr>
            <w:tcW w:type="dxa" w:w="2484"/>
            <w:shd w:val="clear" w:color="auto" w:fill="FFFFFF"/>
            <w:tcMar>
              <w:top w:w="80" w:type="dxa"/>
              <w:bottom w:w="80" w:type="dxa"/>
              <w:left w:w="140" w:type="dxa"/>
              <w:right w:w="140" w:type="dxa"/>
            </w:tcMar>
          </w:tcPr>
          <w:p>
            <w:pPr>
              <w:spacing w:before="80" w:after="80" w:line="276" w:lineRule="auto"/>
            </w:pPr>
            <w:r>
              <w:rPr>
                <w:color w:val="1E293B"/>
                <w:sz w:val="20"/>
              </w:rPr>
              <w:t>**Volunteer Providers** *(2–3 MDs)*</w:t>
            </w:r>
          </w:p>
        </w:tc>
        <w:tc>
          <w:tcPr>
            <w:tcW w:type="dxa" w:w="2484"/>
            <w:shd w:val="clear" w:color="auto" w:fill="FFFFFF"/>
            <w:tcMar>
              <w:top w:w="80" w:type="dxa"/>
              <w:bottom w:w="80" w:type="dxa"/>
              <w:left w:w="140" w:type="dxa"/>
              <w:right w:w="140" w:type="dxa"/>
            </w:tcMar>
          </w:tcPr>
          <w:p>
            <w:pPr>
              <w:spacing w:before="80" w:after="80" w:line="276" w:lineRule="auto"/>
            </w:pPr>
            <w:r>
              <w:rPr>
                <w:color w:val="1E293B"/>
                <w:sz w:val="20"/>
              </w:rPr>
              <w:t>**~3 hrs / MD**</w:t>
            </w:r>
          </w:p>
        </w:tc>
        <w:tc>
          <w:tcPr>
            <w:tcW w:type="dxa" w:w="2484"/>
            <w:shd w:val="clear" w:color="auto" w:fill="FFFFFF"/>
            <w:tcMar>
              <w:top w:w="80" w:type="dxa"/>
              <w:bottom w:w="80" w:type="dxa"/>
              <w:left w:w="140" w:type="dxa"/>
              <w:right w:w="140" w:type="dxa"/>
            </w:tcMar>
          </w:tcPr>
          <w:p>
            <w:pPr>
              <w:spacing w:before="80" w:after="80" w:line="276" w:lineRule="auto"/>
            </w:pPr>
            <w:r>
              <w:rPr>
                <w:color w:val="1E293B"/>
                <w:sz w:val="20"/>
              </w:rPr>
              <w:t>~15 min / 2 weeks</w:t>
            </w:r>
          </w:p>
        </w:tc>
        <w:tc>
          <w:tcPr>
            <w:tcW w:type="dxa" w:w="2484"/>
            <w:shd w:val="clear" w:color="auto" w:fill="FFFFFF"/>
            <w:tcMar>
              <w:top w:w="80" w:type="dxa"/>
              <w:bottom w:w="80" w:type="dxa"/>
              <w:left w:w="140" w:type="dxa"/>
              <w:right w:w="140" w:type="dxa"/>
            </w:tcMar>
          </w:tcPr>
          <w:p>
            <w:pPr>
              <w:spacing w:before="80" w:after="80" w:line="276" w:lineRule="auto"/>
            </w:pPr>
            <w:r>
              <w:rPr>
                <w:color w:val="1E293B"/>
                <w:sz w:val="20"/>
              </w:rPr>
              <w:t>Bi-weekly check-in; zero evening administrative burden</w:t>
            </w:r>
          </w:p>
        </w:tc>
      </w:tr>
      <w:tr>
        <w:tc>
          <w:tcPr>
            <w:tcW w:type="dxa" w:w="2484"/>
            <w:shd w:val="clear" w:color="auto" w:fill="F8FAFC"/>
            <w:tcMar>
              <w:top w:w="80" w:type="dxa"/>
              <w:bottom w:w="80" w:type="dxa"/>
              <w:left w:w="140" w:type="dxa"/>
              <w:right w:w="140" w:type="dxa"/>
            </w:tcMar>
          </w:tcPr>
          <w:p>
            <w:pPr>
              <w:spacing w:before="80" w:after="80" w:line="276" w:lineRule="auto"/>
            </w:pPr>
            <w:r>
              <w:rPr>
                <w:color w:val="1E293B"/>
                <w:sz w:val="20"/>
              </w:rPr>
              <w:t>**Executive Sponsor** *(Dr. Mendenhall)*</w:t>
            </w:r>
          </w:p>
        </w:tc>
        <w:tc>
          <w:tcPr>
            <w:tcW w:type="dxa" w:w="2484"/>
            <w:shd w:val="clear" w:color="auto" w:fill="F8FAFC"/>
            <w:tcMar>
              <w:top w:w="80" w:type="dxa"/>
              <w:bottom w:w="80" w:type="dxa"/>
              <w:left w:w="140" w:type="dxa"/>
              <w:right w:w="140" w:type="dxa"/>
            </w:tcMar>
          </w:tcPr>
          <w:p>
            <w:pPr>
              <w:spacing w:before="80" w:after="80" w:line="276" w:lineRule="auto"/>
            </w:pPr>
            <w:r>
              <w:rPr>
                <w:color w:val="1E293B"/>
                <w:sz w:val="20"/>
              </w:rPr>
              <w:t>**2 hrs**</w:t>
            </w:r>
          </w:p>
        </w:tc>
        <w:tc>
          <w:tcPr>
            <w:tcW w:type="dxa" w:w="2484"/>
            <w:shd w:val="clear" w:color="auto" w:fill="F8FAFC"/>
            <w:tcMar>
              <w:top w:w="80" w:type="dxa"/>
              <w:bottom w:w="80" w:type="dxa"/>
              <w:left w:w="140" w:type="dxa"/>
              <w:right w:w="140" w:type="dxa"/>
            </w:tcMar>
          </w:tcPr>
          <w:p>
            <w:pPr>
              <w:spacing w:before="80" w:after="80" w:line="276" w:lineRule="auto"/>
            </w:pPr>
            <w:r>
              <w:rPr>
                <w:color w:val="1E293B"/>
                <w:sz w:val="20"/>
              </w:rPr>
              <w:t>Checkpoints</w:t>
            </w:r>
          </w:p>
        </w:tc>
        <w:tc>
          <w:tcPr>
            <w:tcW w:type="dxa" w:w="2484"/>
            <w:shd w:val="clear" w:color="auto" w:fill="F8FAFC"/>
            <w:tcMar>
              <w:top w:w="80" w:type="dxa"/>
              <w:bottom w:w="80" w:type="dxa"/>
              <w:left w:w="140" w:type="dxa"/>
              <w:right w:w="140" w:type="dxa"/>
            </w:tcMar>
          </w:tcPr>
          <w:p>
            <w:pPr>
              <w:spacing w:before="80" w:after="80" w:line="276" w:lineRule="auto"/>
            </w:pPr>
            <w:r>
              <w:rPr>
                <w:color w:val="1E293B"/>
                <w:sz w:val="20"/>
              </w:rPr>
              <w:t>Kickoff alignment (30 min); final outcome &amp; ROI briefing (1 hr)</w:t>
            </w:r>
          </w:p>
        </w:tc>
      </w:tr>
    </w:tbl>
    <w:p>
      <w:pPr>
        <w:spacing w:before="0" w:after="120"/>
      </w:pPr>
    </w:p>
    <w:p>
      <w:pPr>
        <w:spacing w:before="60" w:after="80"/>
      </w:pPr>
      <w:r>
        <w:t>All KVANN Health onboarding, calibration, and training is delivered remotely within the fixed fee.</w:t>
      </w:r>
    </w:p>
    <w:p>
      <w:pPr>
        <w:spacing w:before="280" w:after="80"/>
      </w:pPr>
      <w:r>
        <w:rPr>
          <w:rFonts w:ascii="Calibri" w:hAnsi="Calibri"/>
          <w:b/>
          <w:color w:val="0D9488"/>
          <w:sz w:val="30"/>
        </w:rPr>
        <w:t>Section 4: Success Criteria &amp; Empirical Baseline</w:t>
      </w:r>
    </w:p>
    <w:tbl>
      <w:tblPr>
        <w:tblW w:type="auto" w:w="0"/>
        <w:jc w:val="center"/>
        <w:tblLayout w:type="autofit"/>
        <w:tblLook w:firstColumn="1" w:firstRow="1" w:lastColumn="0" w:lastRow="0" w:noHBand="0" w:noVBand="1" w:val="04A0"/>
      </w:tblPr>
      <w:tblGrid>
        <w:gridCol w:w="3312"/>
        <w:gridCol w:w="3312"/>
        <w:gridCol w:w="3312"/>
      </w:tblGrid>
      <w:tr>
        <w:tc>
          <w:tcPr>
            <w:tcW w:type="dxa" w:w="3312"/>
            <w:shd w:val="clear" w:color="auto" w:fill="0F172A"/>
            <w:tcMar>
              <w:top w:w="120" w:type="dxa"/>
              <w:bottom w:w="120" w:type="dxa"/>
              <w:left w:w="140" w:type="dxa"/>
              <w:right w:w="140" w:type="dxa"/>
            </w:tcMar>
          </w:tcPr>
          <w:p>
            <w:pPr>
              <w:spacing w:before="80" w:after="80" w:line="276" w:lineRule="auto"/>
            </w:pPr>
            <w:r>
              <w:rPr>
                <w:b/>
                <w:color w:val="FFFFFF"/>
                <w:sz w:val="20"/>
              </w:rPr>
              <w:t>Metric</w:t>
            </w:r>
          </w:p>
        </w:tc>
        <w:tc>
          <w:tcPr>
            <w:tcW w:type="dxa" w:w="3312"/>
            <w:shd w:val="clear" w:color="auto" w:fill="0F172A"/>
            <w:tcMar>
              <w:top w:w="120" w:type="dxa"/>
              <w:bottom w:w="120" w:type="dxa"/>
              <w:left w:w="140" w:type="dxa"/>
              <w:right w:w="140" w:type="dxa"/>
            </w:tcMar>
          </w:tcPr>
          <w:p>
            <w:pPr>
              <w:spacing w:before="80" w:after="80" w:line="276" w:lineRule="auto"/>
            </w:pPr>
            <w:r>
              <w:rPr>
                <w:b/>
                <w:color w:val="FFFFFF"/>
                <w:sz w:val="20"/>
              </w:rPr>
              <w:t>Target</w:t>
            </w:r>
          </w:p>
        </w:tc>
        <w:tc>
          <w:tcPr>
            <w:tcW w:type="dxa" w:w="3312"/>
            <w:shd w:val="clear" w:color="auto" w:fill="0F172A"/>
            <w:tcMar>
              <w:top w:w="120" w:type="dxa"/>
              <w:bottom w:w="120" w:type="dxa"/>
              <w:left w:w="140" w:type="dxa"/>
              <w:right w:w="140" w:type="dxa"/>
            </w:tcMar>
          </w:tcPr>
          <w:p>
            <w:pPr>
              <w:spacing w:before="80" w:after="80" w:line="276" w:lineRule="auto"/>
            </w:pPr>
            <w:r>
              <w:rPr>
                <w:b/>
                <w:color w:val="FFFFFF"/>
                <w:sz w:val="20"/>
              </w:rPr>
              <w:t>Measurement Protocol</w:t>
            </w:r>
          </w:p>
        </w:tc>
      </w:tr>
      <w:tr>
        <w:tc>
          <w:tcPr>
            <w:tcW w:type="dxa" w:w="3312"/>
            <w:shd w:val="clear" w:color="auto" w:fill="F8FAFC"/>
            <w:tcMar>
              <w:top w:w="80" w:type="dxa"/>
              <w:bottom w:w="80" w:type="dxa"/>
              <w:left w:w="140" w:type="dxa"/>
              <w:right w:w="140" w:type="dxa"/>
            </w:tcMar>
          </w:tcPr>
          <w:p>
            <w:pPr>
              <w:spacing w:before="80" w:after="80" w:line="276" w:lineRule="auto"/>
            </w:pPr>
            <w:r>
              <w:rPr>
                <w:color w:val="1E293B"/>
                <w:sz w:val="20"/>
              </w:rPr>
              <w:t>**Primary: Schedule density / appointment yield**</w:t>
            </w:r>
          </w:p>
        </w:tc>
        <w:tc>
          <w:tcPr>
            <w:tcW w:type="dxa" w:w="3312"/>
            <w:shd w:val="clear" w:color="auto" w:fill="F8FAFC"/>
            <w:tcMar>
              <w:top w:w="80" w:type="dxa"/>
              <w:bottom w:w="80" w:type="dxa"/>
              <w:left w:w="140" w:type="dxa"/>
              <w:right w:w="140" w:type="dxa"/>
            </w:tcMar>
          </w:tcPr>
          <w:p>
            <w:pPr>
              <w:spacing w:before="80" w:after="80" w:line="276" w:lineRule="auto"/>
            </w:pPr>
            <w:r>
              <w:rPr>
                <w:color w:val="1E293B"/>
                <w:sz w:val="20"/>
              </w:rPr>
              <w:t>**≥ 5.0% increase** in completed schedule density</w:t>
            </w:r>
          </w:p>
        </w:tc>
        <w:tc>
          <w:tcPr>
            <w:tcW w:type="dxa" w:w="3312"/>
            <w:shd w:val="clear" w:color="auto" w:fill="F8FAFC"/>
            <w:tcMar>
              <w:top w:w="80" w:type="dxa"/>
              <w:bottom w:w="80" w:type="dxa"/>
              <w:left w:w="140" w:type="dxa"/>
              <w:right w:w="140" w:type="dxa"/>
            </w:tcMar>
          </w:tcPr>
          <w:p>
            <w:pPr>
              <w:spacing w:before="80" w:after="80" w:line="276" w:lineRule="auto"/>
            </w:pPr>
            <w:r>
              <w:rPr>
                <w:color w:val="1E293B"/>
                <w:sz w:val="20"/>
              </w:rPr>
              <w:t>Measured **strictly against the participating clinic's 30-day historical pre-pilot baseline**, locked at Phase 2 before live operation</w:t>
            </w:r>
          </w:p>
        </w:tc>
      </w:tr>
      <w:tr>
        <w:tc>
          <w:tcPr>
            <w:tcW w:type="dxa" w:w="3312"/>
            <w:shd w:val="clear" w:color="auto" w:fill="FFFFFF"/>
            <w:tcMar>
              <w:top w:w="80" w:type="dxa"/>
              <w:bottom w:w="80" w:type="dxa"/>
              <w:left w:w="140" w:type="dxa"/>
              <w:right w:w="140" w:type="dxa"/>
            </w:tcMar>
          </w:tcPr>
          <w:p>
            <w:pPr>
              <w:spacing w:before="80" w:after="80" w:line="276" w:lineRule="auto"/>
            </w:pPr>
            <w:r>
              <w:rPr>
                <w:color w:val="1E293B"/>
                <w:sz w:val="20"/>
              </w:rPr>
              <w:t>**Secondary: Schedule overruns**</w:t>
            </w:r>
          </w:p>
        </w:tc>
        <w:tc>
          <w:tcPr>
            <w:tcW w:type="dxa" w:w="3312"/>
            <w:shd w:val="clear" w:color="auto" w:fill="FFFFFF"/>
            <w:tcMar>
              <w:top w:w="80" w:type="dxa"/>
              <w:bottom w:w="80" w:type="dxa"/>
              <w:left w:w="140" w:type="dxa"/>
              <w:right w:w="140" w:type="dxa"/>
            </w:tcMar>
          </w:tcPr>
          <w:p>
            <w:pPr>
              <w:spacing w:before="80" w:after="80" w:line="276" w:lineRule="auto"/>
            </w:pPr>
            <w:r>
              <w:rPr>
                <w:color w:val="1E293B"/>
                <w:sz w:val="20"/>
              </w:rPr>
              <w:t>Reduction in unbuffered mid-day overruns</w:t>
            </w:r>
          </w:p>
        </w:tc>
        <w:tc>
          <w:tcPr>
            <w:tcW w:type="dxa" w:w="3312"/>
            <w:shd w:val="clear" w:color="auto" w:fill="FFFFFF"/>
            <w:tcMar>
              <w:top w:w="80" w:type="dxa"/>
              <w:bottom w:w="80" w:type="dxa"/>
              <w:left w:w="140" w:type="dxa"/>
              <w:right w:w="140" w:type="dxa"/>
            </w:tcMar>
          </w:tcPr>
          <w:p>
            <w:pPr>
              <w:spacing w:before="80" w:after="80" w:line="276" w:lineRule="auto"/>
            </w:pPr>
            <w:r>
              <w:rPr>
                <w:color w:val="1E293B"/>
                <w:sz w:val="20"/>
              </w:rPr>
              <w:t>Weekly Tetris dashboard reporting &amp; Lunch Firewall verification</w:t>
            </w:r>
          </w:p>
        </w:tc>
      </w:tr>
      <w:tr>
        <w:tc>
          <w:tcPr>
            <w:tcW w:type="dxa" w:w="3312"/>
            <w:shd w:val="clear" w:color="auto" w:fill="F8FAFC"/>
            <w:tcMar>
              <w:top w:w="80" w:type="dxa"/>
              <w:bottom w:w="80" w:type="dxa"/>
              <w:left w:w="140" w:type="dxa"/>
              <w:right w:w="140" w:type="dxa"/>
            </w:tcMar>
          </w:tcPr>
          <w:p>
            <w:pPr>
              <w:spacing w:before="80" w:after="80" w:line="276" w:lineRule="auto"/>
            </w:pPr>
            <w:r>
              <w:rPr>
                <w:color w:val="1E293B"/>
                <w:sz w:val="20"/>
              </w:rPr>
              <w:t>**Secondary: Provider well-being**</w:t>
            </w:r>
          </w:p>
        </w:tc>
        <w:tc>
          <w:tcPr>
            <w:tcW w:type="dxa" w:w="3312"/>
            <w:shd w:val="clear" w:color="auto" w:fill="F8FAFC"/>
            <w:tcMar>
              <w:top w:w="80" w:type="dxa"/>
              <w:bottom w:w="80" w:type="dxa"/>
              <w:left w:w="140" w:type="dxa"/>
              <w:right w:w="140" w:type="dxa"/>
            </w:tcMar>
          </w:tcPr>
          <w:p>
            <w:pPr>
              <w:spacing w:before="80" w:after="80" w:line="276" w:lineRule="auto"/>
            </w:pPr>
            <w:r>
              <w:rPr>
                <w:color w:val="1E293B"/>
                <w:sz w:val="20"/>
              </w:rPr>
              <w:t>Volunteer-provider satisfaction score</w:t>
            </w:r>
          </w:p>
        </w:tc>
        <w:tc>
          <w:tcPr>
            <w:tcW w:type="dxa" w:w="3312"/>
            <w:shd w:val="clear" w:color="auto" w:fill="F8FAFC"/>
            <w:tcMar>
              <w:top w:w="80" w:type="dxa"/>
              <w:bottom w:w="80" w:type="dxa"/>
              <w:left w:w="140" w:type="dxa"/>
              <w:right w:w="140" w:type="dxa"/>
            </w:tcMar>
          </w:tcPr>
          <w:p>
            <w:pPr>
              <w:spacing w:before="80" w:after="80" w:line="276" w:lineRule="auto"/>
            </w:pPr>
            <w:r>
              <w:rPr>
                <w:color w:val="1E293B"/>
                <w:sz w:val="20"/>
              </w:rPr>
              <w:t>Structured survey (baseline vs. week 12) administered by Clinical Lead</w:t>
            </w:r>
          </w:p>
        </w:tc>
      </w:tr>
    </w:tbl>
    <w:p>
      <w:pPr>
        <w:spacing w:before="0" w:after="120"/>
      </w:pPr>
    </w:p>
    <w:p>
      <w:pPr>
        <w:spacing w:before="60" w:after="80"/>
      </w:pPr>
      <w:r>
        <w:t xml:space="preserve">Density improvement is computed on like-for-like clinic sessions, excluding provider PTO and holidays, using CCC's own Epic scheduling data. </w:t>
      </w:r>
      <w:r>
        <w:rPr>
          <w:b/>
        </w:rPr>
        <w:t>"We do not grade our own homework"</w:t>
      </w:r>
      <w:r>
        <w:t>: the baseline and final results are jointly validated and co-signed by the Practice Manager and Executive Sponsor.</w:t>
      </w:r>
    </w:p>
    <w:p>
      <w:pPr>
        <w:spacing w:before="280" w:after="80"/>
      </w:pPr>
      <w:r>
        <w:rPr>
          <w:rFonts w:ascii="Calibri" w:hAnsi="Calibri"/>
          <w:b/>
          <w:color w:val="0D9488"/>
          <w:sz w:val="30"/>
        </w:rPr>
        <w:t>Section 5: Commercial Terms &amp; Risk Reversal</w:t>
      </w:r>
    </w:p>
    <w:tbl>
      <w:tblPr>
        <w:tblW w:type="auto" w:w="0"/>
        <w:jc w:val="center"/>
        <w:tblLayout w:type="autofit"/>
        <w:tblLook w:firstColumn="1" w:firstRow="1" w:lastColumn="0" w:lastRow="0" w:noHBand="0" w:noVBand="1" w:val="04A0"/>
      </w:tblPr>
      <w:tblGrid>
        <w:gridCol w:w="4968"/>
        <w:gridCol w:w="4968"/>
      </w:tblGrid>
      <w:tr>
        <w:tc>
          <w:tcPr>
            <w:tcW w:type="dxa" w:w="4968"/>
            <w:shd w:val="clear" w:color="auto" w:fill="0F172A"/>
            <w:tcMar>
              <w:top w:w="120" w:type="dxa"/>
              <w:bottom w:w="120" w:type="dxa"/>
              <w:left w:w="140" w:type="dxa"/>
              <w:right w:w="140" w:type="dxa"/>
            </w:tcMar>
          </w:tcPr>
          <w:p>
            <w:pPr>
              <w:spacing w:before="80" w:after="80" w:line="276" w:lineRule="auto"/>
            </w:pPr>
            <w:r>
              <w:rPr>
                <w:b/>
                <w:color w:val="FFFFFF"/>
                <w:sz w:val="20"/>
              </w:rPr>
              <w:t>Term</w:t>
            </w:r>
          </w:p>
        </w:tc>
        <w:tc>
          <w:tcPr>
            <w:tcW w:type="dxa" w:w="4968"/>
            <w:shd w:val="clear" w:color="auto" w:fill="0F172A"/>
            <w:tcMar>
              <w:top w:w="120" w:type="dxa"/>
              <w:bottom w:w="120" w:type="dxa"/>
              <w:left w:w="140" w:type="dxa"/>
              <w:right w:w="140" w:type="dxa"/>
            </w:tcMar>
          </w:tcPr>
          <w:p>
            <w:pPr>
              <w:spacing w:before="80" w:after="80" w:line="276" w:lineRule="auto"/>
            </w:pPr>
            <w:r>
              <w:rPr>
                <w:b/>
                <w:color w:val="FFFFFF"/>
                <w:sz w:val="20"/>
              </w:rPr>
              <w:t>Specification</w:t>
            </w:r>
          </w:p>
        </w:tc>
      </w:tr>
      <w:tr>
        <w:tc>
          <w:tcPr>
            <w:tcW w:type="dxa" w:w="4968"/>
            <w:shd w:val="clear" w:color="auto" w:fill="F8FAFC"/>
            <w:tcMar>
              <w:top w:w="80" w:type="dxa"/>
              <w:bottom w:w="80" w:type="dxa"/>
              <w:left w:w="140" w:type="dxa"/>
              <w:right w:w="140" w:type="dxa"/>
            </w:tcMar>
          </w:tcPr>
          <w:p>
            <w:pPr>
              <w:spacing w:before="80" w:after="80" w:line="276" w:lineRule="auto"/>
            </w:pPr>
            <w:r>
              <w:rPr>
                <w:color w:val="1E293B"/>
                <w:sz w:val="20"/>
              </w:rPr>
              <w:t>**Fixed-Fee Pilot Package**</w:t>
            </w:r>
          </w:p>
        </w:tc>
        <w:tc>
          <w:tcPr>
            <w:tcW w:type="dxa" w:w="4968"/>
            <w:shd w:val="clear" w:color="auto" w:fill="F8FAFC"/>
            <w:tcMar>
              <w:top w:w="80" w:type="dxa"/>
              <w:bottom w:w="80" w:type="dxa"/>
              <w:left w:w="140" w:type="dxa"/>
              <w:right w:w="140" w:type="dxa"/>
            </w:tcMar>
          </w:tcPr>
          <w:p>
            <w:pPr>
              <w:spacing w:before="80" w:after="80" w:line="276" w:lineRule="auto"/>
            </w:pPr>
            <w:r>
              <w:rPr>
                <w:color w:val="1E293B"/>
                <w:sz w:val="20"/>
              </w:rPr>
              <w:t>**$3,500 – $5,000 flat fee** — covers all onboarding, calibration, training, and 90-day support. Zero per-hour billing, zero change orders within scope.</w:t>
            </w:r>
          </w:p>
        </w:tc>
      </w:tr>
      <w:tr>
        <w:tc>
          <w:tcPr>
            <w:tcW w:type="dxa" w:w="4968"/>
            <w:shd w:val="clear" w:color="auto" w:fill="FFFFFF"/>
            <w:tcMar>
              <w:top w:w="80" w:type="dxa"/>
              <w:bottom w:w="80" w:type="dxa"/>
              <w:left w:w="140" w:type="dxa"/>
              <w:right w:w="140" w:type="dxa"/>
            </w:tcMar>
          </w:tcPr>
          <w:p>
            <w:pPr>
              <w:spacing w:before="80" w:after="80" w:line="276" w:lineRule="auto"/>
            </w:pPr>
            <w:r>
              <w:rPr>
                <w:color w:val="1E293B"/>
                <w:sz w:val="20"/>
              </w:rPr>
              <w:t>**100% Annual Credit**</w:t>
            </w:r>
          </w:p>
        </w:tc>
        <w:tc>
          <w:tcPr>
            <w:tcW w:type="dxa" w:w="4968"/>
            <w:shd w:val="clear" w:color="auto" w:fill="FFFFFF"/>
            <w:tcMar>
              <w:top w:w="80" w:type="dxa"/>
              <w:bottom w:w="80" w:type="dxa"/>
              <w:left w:w="140" w:type="dxa"/>
              <w:right w:w="140" w:type="dxa"/>
            </w:tcMar>
          </w:tcPr>
          <w:p>
            <w:pPr>
              <w:spacing w:before="80" w:after="80" w:line="276" w:lineRule="auto"/>
            </w:pPr>
            <w:r>
              <w:rPr>
                <w:color w:val="1E293B"/>
                <w:sz w:val="20"/>
              </w:rPr>
              <w:t>**100% of the pilot fee is credited** against the Year 1 annual subscription upon clinic-wide rollout.</w:t>
            </w:r>
          </w:p>
        </w:tc>
      </w:tr>
      <w:tr>
        <w:tc>
          <w:tcPr>
            <w:tcW w:type="dxa" w:w="4968"/>
            <w:shd w:val="clear" w:color="auto" w:fill="F8FAFC"/>
            <w:tcMar>
              <w:top w:w="80" w:type="dxa"/>
              <w:bottom w:w="80" w:type="dxa"/>
              <w:left w:w="140" w:type="dxa"/>
              <w:right w:w="140" w:type="dxa"/>
            </w:tcMar>
          </w:tcPr>
          <w:p>
            <w:pPr>
              <w:spacing w:before="80" w:after="80" w:line="276" w:lineRule="auto"/>
            </w:pPr>
            <w:r>
              <w:rPr>
                <w:color w:val="1E293B"/>
                <w:sz w:val="20"/>
              </w:rPr>
              <w:t>**Post-Pilot Subscription Anchor**</w:t>
            </w:r>
          </w:p>
        </w:tc>
        <w:tc>
          <w:tcPr>
            <w:tcW w:type="dxa" w:w="4968"/>
            <w:shd w:val="clear" w:color="auto" w:fill="F8FAFC"/>
            <w:tcMar>
              <w:top w:w="80" w:type="dxa"/>
              <w:bottom w:w="80" w:type="dxa"/>
              <w:left w:w="140" w:type="dxa"/>
              <w:right w:w="140" w:type="dxa"/>
            </w:tcMar>
          </w:tcPr>
          <w:p>
            <w:pPr>
              <w:spacing w:before="80" w:after="80" w:line="276" w:lineRule="auto"/>
            </w:pPr>
            <w:r>
              <w:rPr>
                <w:color w:val="1E293B"/>
                <w:sz w:val="20"/>
              </w:rPr>
              <w:t>**$149 / provider / month**, annual commitment.</w:t>
            </w:r>
          </w:p>
        </w:tc>
      </w:tr>
      <w:tr>
        <w:tc>
          <w:tcPr>
            <w:tcW w:type="dxa" w:w="4968"/>
            <w:shd w:val="clear" w:color="auto" w:fill="FFFFFF"/>
            <w:tcMar>
              <w:top w:w="80" w:type="dxa"/>
              <w:bottom w:w="80" w:type="dxa"/>
              <w:left w:w="140" w:type="dxa"/>
              <w:right w:w="140" w:type="dxa"/>
            </w:tcMar>
          </w:tcPr>
          <w:p>
            <w:pPr>
              <w:spacing w:before="80" w:after="80" w:line="276" w:lineRule="auto"/>
            </w:pPr>
            <w:r>
              <w:rPr>
                <w:color w:val="1E293B"/>
                <w:sz w:val="20"/>
              </w:rPr>
              <w:t>**30-Day Satisfaction Clause**</w:t>
            </w:r>
          </w:p>
        </w:tc>
        <w:tc>
          <w:tcPr>
            <w:tcW w:type="dxa" w:w="4968"/>
            <w:shd w:val="clear" w:color="auto" w:fill="FFFFFF"/>
            <w:tcMar>
              <w:top w:w="80" w:type="dxa"/>
              <w:bottom w:w="80" w:type="dxa"/>
              <w:left w:w="140" w:type="dxa"/>
              <w:right w:w="140" w:type="dxa"/>
            </w:tcMar>
          </w:tcPr>
          <w:p>
            <w:pPr>
              <w:spacing w:before="80" w:after="80" w:line="276" w:lineRule="auto"/>
            </w:pPr>
            <w:r>
              <w:rPr>
                <w:color w:val="1E293B"/>
                <w:sz w:val="20"/>
              </w:rPr>
              <w:t>CCC may terminate for a **100% full refund** if schedule-density gains fail to reach **5.0% measured over 30 days from the start of live assisted operation** (Weeks 5 through 8) versus the locked historical baseline.</w:t>
            </w:r>
          </w:p>
        </w:tc>
      </w:tr>
    </w:tbl>
    <w:p>
      <w:pPr>
        <w:spacing w:before="0" w:after="120"/>
      </w:pPr>
    </w:p>
    <w:p>
      <w:pPr>
        <w:spacing w:before="280" w:after="80"/>
      </w:pPr>
      <w:r>
        <w:rPr>
          <w:rFonts w:ascii="Calibri" w:hAnsi="Calibri"/>
          <w:b/>
          <w:color w:val="0D9488"/>
          <w:sz w:val="30"/>
        </w:rPr>
        <w:t>Section 6: Data Privacy, HIPAA &amp; Governance Safeguards</w:t>
      </w:r>
    </w:p>
    <w:p>
      <w:pPr>
        <w:pStyle w:val="ListBullet"/>
        <w:spacing w:before="20" w:after="40"/>
      </w:pPr>
      <w:r/>
      <w:r>
        <w:rPr>
          <w:b/>
        </w:rPr>
        <w:t>Pre-Day-0 Synthetic Calibration (Phase 0):</w:t>
      </w:r>
      <w:r>
        <w:t xml:space="preserve"> Initial mathematical calibration is performed on KVANN Health's pre-built synthetic clinical-schedule fixtures. </w:t>
      </w:r>
      <w:r>
        <w:rPr>
          <w:b/>
        </w:rPr>
        <w:t>Zero PHI is ingested prior to BAA execution.</w:t>
      </w:r>
      <w:r/>
    </w:p>
    <w:p>
      <w:pPr>
        <w:pStyle w:val="ListBullet"/>
        <w:spacing w:before="20" w:after="40"/>
      </w:pPr>
      <w:r/>
      <w:r>
        <w:rPr>
          <w:b/>
        </w:rPr>
        <w:t>HIPAA BAA:</w:t>
      </w:r>
      <w:r>
        <w:t xml:space="preserve"> A standard mutual Business Associate Agreement is executed prior to any live data connection, in either operating mode.</w:t>
      </w:r>
    </w:p>
    <w:p>
      <w:pPr>
        <w:pStyle w:val="ListBullet"/>
        <w:spacing w:before="20" w:after="40"/>
      </w:pPr>
      <w:r/>
      <w:r>
        <w:rPr>
          <w:b/>
        </w:rPr>
        <w:t>The "Iron Rule":</w:t>
      </w:r>
      <w:r>
        <w:t xml:space="preserve"> Automated write-back capability is restricted </w:t>
      </w:r>
      <w:r>
        <w:rPr>
          <w:b/>
        </w:rPr>
        <w:t>strictly to the FHIR `Appointment` resource</w:t>
      </w:r>
      <w:r>
        <w:t xml:space="preserve">. Demographic data, medical histories, clinical progress notes, and diagnostic codes are </w:t>
      </w:r>
      <w:r>
        <w:rPr>
          <w:b/>
        </w:rPr>
        <w:t>100% read-only and mathematically untouched</w:t>
      </w:r>
      <w:r>
        <w:t>.</w:t>
      </w:r>
    </w:p>
    <w:p>
      <w:pPr>
        <w:pStyle w:val="ListBullet"/>
        <w:spacing w:before="20" w:after="40"/>
      </w:pPr>
      <w:r/>
      <w:r>
        <w:rPr>
          <w:b/>
        </w:rPr>
        <w:t>The "One-Hour Removal" Guarantee:</w:t>
      </w:r>
      <w:r/>
    </w:p>
    <w:p>
      <w:pPr>
        <w:spacing w:before="80" w:after="80"/>
        <w:ind w:left="576"/>
      </w:pPr>
      <w:r>
        <w:rPr>
          <w:i/>
          <w:color w:val="64748B"/>
        </w:rPr>
        <w:t>*"The pilot is removable in under one hour: revoke the client credentials, delete the export script. No agents, no background servers, and zero persistent software footprint inside CCC infrastructure."*</w:t>
      </w:r>
    </w:p>
    <w:p>
      <w:pPr>
        <w:pStyle w:val="ListBullet"/>
        <w:spacing w:before="20" w:after="40"/>
      </w:pPr>
      <w:r/>
      <w:r>
        <w:rPr>
          <w:b/>
        </w:rPr>
        <w:t>Minimum Necessary:</w:t>
      </w:r>
      <w:r>
        <w:t xml:space="preserve"> In Mode B, the daily CSV export contains only schedule-structure fields required for optimization; field list jointly approved by CCC IT before first export.</w:t>
      </w:r>
    </w:p>
    <w:p>
      <w:pPr>
        <w:spacing w:before="280" w:after="80"/>
      </w:pPr>
      <w:r>
        <w:rPr>
          <w:rFonts w:ascii="Calibri" w:hAnsi="Calibri"/>
          <w:b/>
          <w:color w:val="0D9488"/>
          <w:sz w:val="30"/>
        </w:rPr>
        <w:t>Section 7: Next Steps &amp; Authorization Sign-Off</w:t>
      </w:r>
    </w:p>
    <w:p>
      <w:pPr>
        <w:spacing w:before="60" w:after="80"/>
      </w:pPr>
      <w:r/>
      <w:r>
        <w:rPr>
          <w:b/>
        </w:rPr>
        <w:t>Action checklist to Day 0:</w:t>
      </w:r>
      <w:r/>
    </w:p>
    <w:tbl>
      <w:tblPr>
        <w:tblW w:type="auto" w:w="0"/>
        <w:jc w:val="center"/>
        <w:tblLayout w:type="autofit"/>
        <w:tblLook w:firstColumn="1" w:firstRow="1" w:lastColumn="0" w:lastRow="0" w:noHBand="0" w:noVBand="1" w:val="04A0"/>
      </w:tblPr>
      <w:tblGrid>
        <w:gridCol w:w="2484"/>
        <w:gridCol w:w="2484"/>
        <w:gridCol w:w="2484"/>
        <w:gridCol w:w="2484"/>
      </w:tblGrid>
      <w:tr>
        <w:tc>
          <w:tcPr>
            <w:tcW w:type="dxa" w:w="2484"/>
            <w:shd w:val="clear" w:color="auto" w:fill="0F172A"/>
            <w:tcMar>
              <w:top w:w="120" w:type="dxa"/>
              <w:bottom w:w="120" w:type="dxa"/>
              <w:left w:w="140" w:type="dxa"/>
              <w:right w:w="140" w:type="dxa"/>
            </w:tcMar>
          </w:tcPr>
          <w:p>
            <w:pPr>
              <w:spacing w:before="80" w:after="80" w:line="276" w:lineRule="auto"/>
            </w:pPr>
            <w:r>
              <w:rPr>
                <w:b/>
                <w:color w:val="FFFFFF"/>
                <w:sz w:val="20"/>
              </w:rPr>
              <w:t>#</w:t>
            </w:r>
          </w:p>
        </w:tc>
        <w:tc>
          <w:tcPr>
            <w:tcW w:type="dxa" w:w="2484"/>
            <w:shd w:val="clear" w:color="auto" w:fill="0F172A"/>
            <w:tcMar>
              <w:top w:w="120" w:type="dxa"/>
              <w:bottom w:w="120" w:type="dxa"/>
              <w:left w:w="140" w:type="dxa"/>
              <w:right w:w="140" w:type="dxa"/>
            </w:tcMar>
          </w:tcPr>
          <w:p>
            <w:pPr>
              <w:spacing w:before="80" w:after="80" w:line="276" w:lineRule="auto"/>
            </w:pPr>
            <w:r>
              <w:rPr>
                <w:b/>
                <w:color w:val="FFFFFF"/>
                <w:sz w:val="20"/>
              </w:rPr>
              <w:t>Action</w:t>
            </w:r>
          </w:p>
        </w:tc>
        <w:tc>
          <w:tcPr>
            <w:tcW w:type="dxa" w:w="2484"/>
            <w:shd w:val="clear" w:color="auto" w:fill="0F172A"/>
            <w:tcMar>
              <w:top w:w="120" w:type="dxa"/>
              <w:bottom w:w="120" w:type="dxa"/>
              <w:left w:w="140" w:type="dxa"/>
              <w:right w:w="140" w:type="dxa"/>
            </w:tcMar>
          </w:tcPr>
          <w:p>
            <w:pPr>
              <w:spacing w:before="80" w:after="80" w:line="276" w:lineRule="auto"/>
            </w:pPr>
            <w:r>
              <w:rPr>
                <w:b/>
                <w:color w:val="FFFFFF"/>
                <w:sz w:val="20"/>
              </w:rPr>
              <w:t>Owner</w:t>
            </w:r>
          </w:p>
        </w:tc>
        <w:tc>
          <w:tcPr>
            <w:tcW w:type="dxa" w:w="2484"/>
            <w:shd w:val="clear" w:color="auto" w:fill="0F172A"/>
            <w:tcMar>
              <w:top w:w="120" w:type="dxa"/>
              <w:bottom w:w="120" w:type="dxa"/>
              <w:left w:w="140" w:type="dxa"/>
              <w:right w:w="140" w:type="dxa"/>
            </w:tcMar>
          </w:tcPr>
          <w:p>
            <w:pPr>
              <w:spacing w:before="80" w:after="80" w:line="276" w:lineRule="auto"/>
            </w:pPr>
            <w:r>
              <w:rPr>
                <w:b/>
                <w:color w:val="FFFFFF"/>
                <w:sz w:val="20"/>
              </w:rPr>
              <w:t>Target</w:t>
            </w:r>
          </w:p>
        </w:tc>
      </w:tr>
      <w:tr>
        <w:tc>
          <w:tcPr>
            <w:tcW w:type="dxa" w:w="2484"/>
            <w:shd w:val="clear" w:color="auto" w:fill="F8FAFC"/>
            <w:tcMar>
              <w:top w:w="80" w:type="dxa"/>
              <w:bottom w:w="80" w:type="dxa"/>
              <w:left w:w="140" w:type="dxa"/>
              <w:right w:w="140" w:type="dxa"/>
            </w:tcMar>
          </w:tcPr>
          <w:p>
            <w:pPr>
              <w:spacing w:before="80" w:after="80" w:line="276" w:lineRule="auto"/>
            </w:pPr>
            <w:r>
              <w:rPr>
                <w:color w:val="1E293B"/>
                <w:sz w:val="20"/>
              </w:rPr>
              <w:t>1</w:t>
            </w:r>
          </w:p>
        </w:tc>
        <w:tc>
          <w:tcPr>
            <w:tcW w:type="dxa" w:w="2484"/>
            <w:shd w:val="clear" w:color="auto" w:fill="F8FAFC"/>
            <w:tcMar>
              <w:top w:w="80" w:type="dxa"/>
              <w:bottom w:w="80" w:type="dxa"/>
              <w:left w:w="140" w:type="dxa"/>
              <w:right w:w="140" w:type="dxa"/>
            </w:tcMar>
          </w:tcPr>
          <w:p>
            <w:pPr>
              <w:spacing w:before="80" w:after="80" w:line="276" w:lineRule="auto"/>
            </w:pPr>
            <w:r>
              <w:rPr>
                <w:color w:val="1E293B"/>
                <w:sz w:val="20"/>
              </w:rPr>
              <w:t>Pilot proposal review &amp; scope confirmation</w:t>
            </w:r>
          </w:p>
        </w:tc>
        <w:tc>
          <w:tcPr>
            <w:tcW w:type="dxa" w:w="2484"/>
            <w:shd w:val="clear" w:color="auto" w:fill="F8FAFC"/>
            <w:tcMar>
              <w:top w:w="80" w:type="dxa"/>
              <w:bottom w:w="80" w:type="dxa"/>
              <w:left w:w="140" w:type="dxa"/>
              <w:right w:w="140" w:type="dxa"/>
            </w:tcMar>
          </w:tcPr>
          <w:p>
            <w:pPr>
              <w:spacing w:before="80" w:after="80" w:line="276" w:lineRule="auto"/>
            </w:pPr>
            <w:r>
              <w:rPr>
                <w:color w:val="1E293B"/>
                <w:sz w:val="20"/>
              </w:rPr>
              <w:t>CCC Executive Sponsor</w:t>
            </w:r>
          </w:p>
        </w:tc>
        <w:tc>
          <w:tcPr>
            <w:tcW w:type="dxa" w:w="2484"/>
            <w:shd w:val="clear" w:color="auto" w:fill="F8FAFC"/>
            <w:tcMar>
              <w:top w:w="80" w:type="dxa"/>
              <w:bottom w:w="80" w:type="dxa"/>
              <w:left w:w="140" w:type="dxa"/>
              <w:right w:w="140" w:type="dxa"/>
            </w:tcMar>
          </w:tcPr>
          <w:p>
            <w:pPr>
              <w:spacing w:before="80" w:after="80" w:line="276" w:lineRule="auto"/>
            </w:pPr>
            <w:r>
              <w:rPr>
                <w:color w:val="1E293B"/>
                <w:sz w:val="20"/>
              </w:rPr>
              <w:t>Week 1</w:t>
            </w:r>
          </w:p>
        </w:tc>
      </w:tr>
      <w:tr>
        <w:tc>
          <w:tcPr>
            <w:tcW w:type="dxa" w:w="2484"/>
            <w:shd w:val="clear" w:color="auto" w:fill="FFFFFF"/>
            <w:tcMar>
              <w:top w:w="80" w:type="dxa"/>
              <w:bottom w:w="80" w:type="dxa"/>
              <w:left w:w="140" w:type="dxa"/>
              <w:right w:w="140" w:type="dxa"/>
            </w:tcMar>
          </w:tcPr>
          <w:p>
            <w:pPr>
              <w:spacing w:before="80" w:after="80" w:line="276" w:lineRule="auto"/>
            </w:pPr>
            <w:r>
              <w:rPr>
                <w:color w:val="1E293B"/>
                <w:sz w:val="20"/>
              </w:rPr>
              <w:t>2</w:t>
            </w:r>
          </w:p>
        </w:tc>
        <w:tc>
          <w:tcPr>
            <w:tcW w:type="dxa" w:w="2484"/>
            <w:shd w:val="clear" w:color="auto" w:fill="FFFFFF"/>
            <w:tcMar>
              <w:top w:w="80" w:type="dxa"/>
              <w:bottom w:w="80" w:type="dxa"/>
              <w:left w:w="140" w:type="dxa"/>
              <w:right w:w="140" w:type="dxa"/>
            </w:tcMar>
          </w:tcPr>
          <w:p>
            <w:pPr>
              <w:spacing w:before="80" w:after="80" w:line="276" w:lineRule="auto"/>
            </w:pPr>
            <w:r>
              <w:rPr>
                <w:color w:val="1E293B"/>
                <w:sz w:val="20"/>
              </w:rPr>
              <w:t>Confirm Epic hosting arrangement &amp; name Technical Liaison</w:t>
            </w:r>
          </w:p>
        </w:tc>
        <w:tc>
          <w:tcPr>
            <w:tcW w:type="dxa" w:w="2484"/>
            <w:shd w:val="clear" w:color="auto" w:fill="FFFFFF"/>
            <w:tcMar>
              <w:top w:w="80" w:type="dxa"/>
              <w:bottom w:w="80" w:type="dxa"/>
              <w:left w:w="140" w:type="dxa"/>
              <w:right w:w="140" w:type="dxa"/>
            </w:tcMar>
          </w:tcPr>
          <w:p>
            <w:pPr>
              <w:spacing w:before="80" w:after="80" w:line="276" w:lineRule="auto"/>
            </w:pPr>
            <w:r>
              <w:rPr>
                <w:color w:val="1E293B"/>
                <w:sz w:val="20"/>
              </w:rPr>
              <w:t>CCC IT</w:t>
            </w:r>
          </w:p>
        </w:tc>
        <w:tc>
          <w:tcPr>
            <w:tcW w:type="dxa" w:w="2484"/>
            <w:shd w:val="clear" w:color="auto" w:fill="FFFFFF"/>
            <w:tcMar>
              <w:top w:w="80" w:type="dxa"/>
              <w:bottom w:w="80" w:type="dxa"/>
              <w:left w:w="140" w:type="dxa"/>
              <w:right w:w="140" w:type="dxa"/>
            </w:tcMar>
          </w:tcPr>
          <w:p>
            <w:pPr>
              <w:spacing w:before="80" w:after="80" w:line="276" w:lineRule="auto"/>
            </w:pPr>
            <w:r>
              <w:rPr>
                <w:color w:val="1E293B"/>
                <w:sz w:val="20"/>
              </w:rPr>
              <w:t>Week 1</w:t>
            </w:r>
          </w:p>
        </w:tc>
      </w:tr>
      <w:tr>
        <w:tc>
          <w:tcPr>
            <w:tcW w:type="dxa" w:w="2484"/>
            <w:shd w:val="clear" w:color="auto" w:fill="F8FAFC"/>
            <w:tcMar>
              <w:top w:w="80" w:type="dxa"/>
              <w:bottom w:w="80" w:type="dxa"/>
              <w:left w:w="140" w:type="dxa"/>
              <w:right w:w="140" w:type="dxa"/>
            </w:tcMar>
          </w:tcPr>
          <w:p>
            <w:pPr>
              <w:spacing w:before="80" w:after="80" w:line="276" w:lineRule="auto"/>
            </w:pPr>
            <w:r>
              <w:rPr>
                <w:color w:val="1E293B"/>
                <w:sz w:val="20"/>
              </w:rPr>
              <w:t>3</w:t>
            </w:r>
          </w:p>
        </w:tc>
        <w:tc>
          <w:tcPr>
            <w:tcW w:type="dxa" w:w="2484"/>
            <w:shd w:val="clear" w:color="auto" w:fill="F8FAFC"/>
            <w:tcMar>
              <w:top w:w="80" w:type="dxa"/>
              <w:bottom w:w="80" w:type="dxa"/>
              <w:left w:w="140" w:type="dxa"/>
              <w:right w:w="140" w:type="dxa"/>
            </w:tcMar>
          </w:tcPr>
          <w:p>
            <w:pPr>
              <w:spacing w:before="80" w:after="80" w:line="276" w:lineRule="auto"/>
            </w:pPr>
            <w:r>
              <w:rPr>
                <w:color w:val="1E293B"/>
                <w:sz w:val="20"/>
              </w:rPr>
              <w:t>Execute pilot agreement + mutual BAA</w:t>
            </w:r>
          </w:p>
        </w:tc>
        <w:tc>
          <w:tcPr>
            <w:tcW w:type="dxa" w:w="2484"/>
            <w:shd w:val="clear" w:color="auto" w:fill="F8FAFC"/>
            <w:tcMar>
              <w:top w:w="80" w:type="dxa"/>
              <w:bottom w:w="80" w:type="dxa"/>
              <w:left w:w="140" w:type="dxa"/>
              <w:right w:w="140" w:type="dxa"/>
            </w:tcMar>
          </w:tcPr>
          <w:p>
            <w:pPr>
              <w:spacing w:before="80" w:after="80" w:line="276" w:lineRule="auto"/>
            </w:pPr>
            <w:r>
              <w:rPr>
                <w:color w:val="1E293B"/>
                <w:sz w:val="20"/>
              </w:rPr>
              <w:t>CCC Legal / KVANN HEALTH LLC</w:t>
            </w:r>
          </w:p>
        </w:tc>
        <w:tc>
          <w:tcPr>
            <w:tcW w:type="dxa" w:w="2484"/>
            <w:shd w:val="clear" w:color="auto" w:fill="F8FAFC"/>
            <w:tcMar>
              <w:top w:w="80" w:type="dxa"/>
              <w:bottom w:w="80" w:type="dxa"/>
              <w:left w:w="140" w:type="dxa"/>
              <w:right w:w="140" w:type="dxa"/>
            </w:tcMar>
          </w:tcPr>
          <w:p>
            <w:pPr>
              <w:spacing w:before="80" w:after="80" w:line="276" w:lineRule="auto"/>
            </w:pPr>
            <w:r>
              <w:rPr>
                <w:color w:val="1E293B"/>
                <w:sz w:val="20"/>
              </w:rPr>
              <w:t>Weeks 1–2</w:t>
            </w:r>
          </w:p>
        </w:tc>
      </w:tr>
      <w:tr>
        <w:tc>
          <w:tcPr>
            <w:tcW w:type="dxa" w:w="2484"/>
            <w:shd w:val="clear" w:color="auto" w:fill="FFFFFF"/>
            <w:tcMar>
              <w:top w:w="80" w:type="dxa"/>
              <w:bottom w:w="80" w:type="dxa"/>
              <w:left w:w="140" w:type="dxa"/>
              <w:right w:w="140" w:type="dxa"/>
            </w:tcMar>
          </w:tcPr>
          <w:p>
            <w:pPr>
              <w:spacing w:before="80" w:after="80" w:line="276" w:lineRule="auto"/>
            </w:pPr>
            <w:r>
              <w:rPr>
                <w:color w:val="1E293B"/>
                <w:sz w:val="20"/>
              </w:rPr>
              <w:t>4</w:t>
            </w:r>
          </w:p>
        </w:tc>
        <w:tc>
          <w:tcPr>
            <w:tcW w:type="dxa" w:w="2484"/>
            <w:shd w:val="clear" w:color="auto" w:fill="FFFFFF"/>
            <w:tcMar>
              <w:top w:w="80" w:type="dxa"/>
              <w:bottom w:w="80" w:type="dxa"/>
              <w:left w:w="140" w:type="dxa"/>
              <w:right w:w="140" w:type="dxa"/>
            </w:tcMar>
          </w:tcPr>
          <w:p>
            <w:pPr>
              <w:spacing w:before="80" w:after="80" w:line="276" w:lineRule="auto"/>
            </w:pPr>
            <w:r>
              <w:rPr>
                <w:color w:val="1E293B"/>
                <w:sz w:val="20"/>
              </w:rPr>
              <w:t>External change-control submission (KVANN Health supports drafting)</w:t>
            </w:r>
          </w:p>
        </w:tc>
        <w:tc>
          <w:tcPr>
            <w:tcW w:type="dxa" w:w="2484"/>
            <w:shd w:val="clear" w:color="auto" w:fill="FFFFFF"/>
            <w:tcMar>
              <w:top w:w="80" w:type="dxa"/>
              <w:bottom w:w="80" w:type="dxa"/>
              <w:left w:w="140" w:type="dxa"/>
              <w:right w:w="140" w:type="dxa"/>
            </w:tcMar>
          </w:tcPr>
          <w:p>
            <w:pPr>
              <w:spacing w:before="80" w:after="80" w:line="276" w:lineRule="auto"/>
            </w:pPr>
            <w:r>
              <w:rPr>
                <w:color w:val="1E293B"/>
                <w:sz w:val="20"/>
              </w:rPr>
              <w:t>CCC Technical Liaison</w:t>
            </w:r>
          </w:p>
        </w:tc>
        <w:tc>
          <w:tcPr>
            <w:tcW w:type="dxa" w:w="2484"/>
            <w:shd w:val="clear" w:color="auto" w:fill="FFFFFF"/>
            <w:tcMar>
              <w:top w:w="80" w:type="dxa"/>
              <w:bottom w:w="80" w:type="dxa"/>
              <w:left w:w="140" w:type="dxa"/>
              <w:right w:w="140" w:type="dxa"/>
            </w:tcMar>
          </w:tcPr>
          <w:p>
            <w:pPr>
              <w:spacing w:before="80" w:after="80" w:line="276" w:lineRule="auto"/>
            </w:pPr>
            <w:r>
              <w:rPr>
                <w:color w:val="1E293B"/>
                <w:sz w:val="20"/>
              </w:rPr>
              <w:t>Concurrent with #3</w:t>
            </w:r>
          </w:p>
        </w:tc>
      </w:tr>
      <w:tr>
        <w:tc>
          <w:tcPr>
            <w:tcW w:type="dxa" w:w="2484"/>
            <w:shd w:val="clear" w:color="auto" w:fill="F8FAFC"/>
            <w:tcMar>
              <w:top w:w="80" w:type="dxa"/>
              <w:bottom w:w="80" w:type="dxa"/>
              <w:left w:w="140" w:type="dxa"/>
              <w:right w:w="140" w:type="dxa"/>
            </w:tcMar>
          </w:tcPr>
          <w:p>
            <w:pPr>
              <w:spacing w:before="80" w:after="80" w:line="276" w:lineRule="auto"/>
            </w:pPr>
            <w:r>
              <w:rPr>
                <w:color w:val="1E293B"/>
                <w:sz w:val="20"/>
              </w:rPr>
              <w:t>5</w:t>
            </w:r>
          </w:p>
        </w:tc>
        <w:tc>
          <w:tcPr>
            <w:tcW w:type="dxa" w:w="2484"/>
            <w:shd w:val="clear" w:color="auto" w:fill="F8FAFC"/>
            <w:tcMar>
              <w:top w:w="80" w:type="dxa"/>
              <w:bottom w:w="80" w:type="dxa"/>
              <w:left w:w="140" w:type="dxa"/>
              <w:right w:w="140" w:type="dxa"/>
            </w:tcMar>
          </w:tcPr>
          <w:p>
            <w:pPr>
              <w:spacing w:before="80" w:after="80" w:line="276" w:lineRule="auto"/>
            </w:pPr>
            <w:r>
              <w:rPr>
                <w:color w:val="1E293B"/>
                <w:sz w:val="20"/>
              </w:rPr>
              <w:t>Phase 0 synthetic calibration begins (zero PHI)</w:t>
            </w:r>
          </w:p>
        </w:tc>
        <w:tc>
          <w:tcPr>
            <w:tcW w:type="dxa" w:w="2484"/>
            <w:shd w:val="clear" w:color="auto" w:fill="F8FAFC"/>
            <w:tcMar>
              <w:top w:w="80" w:type="dxa"/>
              <w:bottom w:w="80" w:type="dxa"/>
              <w:left w:w="140" w:type="dxa"/>
              <w:right w:w="140" w:type="dxa"/>
            </w:tcMar>
          </w:tcPr>
          <w:p>
            <w:pPr>
              <w:spacing w:before="80" w:after="80" w:line="276" w:lineRule="auto"/>
            </w:pPr>
            <w:r>
              <w:rPr>
                <w:color w:val="1E293B"/>
                <w:sz w:val="20"/>
              </w:rPr>
              <w:t>KVANN Health</w:t>
            </w:r>
          </w:p>
        </w:tc>
        <w:tc>
          <w:tcPr>
            <w:tcW w:type="dxa" w:w="2484"/>
            <w:shd w:val="clear" w:color="auto" w:fill="F8FAFC"/>
            <w:tcMar>
              <w:top w:w="80" w:type="dxa"/>
              <w:bottom w:w="80" w:type="dxa"/>
              <w:left w:w="140" w:type="dxa"/>
              <w:right w:w="140" w:type="dxa"/>
            </w:tcMar>
          </w:tcPr>
          <w:p>
            <w:pPr>
              <w:spacing w:before="80" w:after="80" w:line="276" w:lineRule="auto"/>
            </w:pPr>
            <w:r>
              <w:rPr>
                <w:color w:val="1E293B"/>
                <w:sz w:val="20"/>
              </w:rPr>
              <w:t>Upon signature</w:t>
            </w:r>
          </w:p>
        </w:tc>
      </w:tr>
      <w:tr>
        <w:tc>
          <w:tcPr>
            <w:tcW w:type="dxa" w:w="2484"/>
            <w:shd w:val="clear" w:color="auto" w:fill="FFFFFF"/>
            <w:tcMar>
              <w:top w:w="80" w:type="dxa"/>
              <w:bottom w:w="80" w:type="dxa"/>
              <w:left w:w="140" w:type="dxa"/>
              <w:right w:w="140" w:type="dxa"/>
            </w:tcMar>
          </w:tcPr>
          <w:p>
            <w:pPr>
              <w:spacing w:before="80" w:after="80" w:line="276" w:lineRule="auto"/>
            </w:pPr>
            <w:r>
              <w:rPr>
                <w:color w:val="1E293B"/>
                <w:sz w:val="20"/>
              </w:rPr>
              <w:t>6</w:t>
            </w:r>
          </w:p>
        </w:tc>
        <w:tc>
          <w:tcPr>
            <w:tcW w:type="dxa" w:w="2484"/>
            <w:shd w:val="clear" w:color="auto" w:fill="FFFFFF"/>
            <w:tcMar>
              <w:top w:w="80" w:type="dxa"/>
              <w:bottom w:w="80" w:type="dxa"/>
              <w:left w:w="140" w:type="dxa"/>
              <w:right w:w="140" w:type="dxa"/>
            </w:tcMar>
          </w:tcPr>
          <w:p>
            <w:pPr>
              <w:spacing w:before="80" w:after="80" w:line="276" w:lineRule="auto"/>
            </w:pPr>
            <w:r>
              <w:rPr>
                <w:color w:val="1E293B"/>
                <w:sz w:val="20"/>
              </w:rPr>
              <w:t>**Day 0** — data connection (Mode A) or CSV activation (Mode B)</w:t>
            </w:r>
          </w:p>
        </w:tc>
        <w:tc>
          <w:tcPr>
            <w:tcW w:type="dxa" w:w="2484"/>
            <w:shd w:val="clear" w:color="auto" w:fill="FFFFFF"/>
            <w:tcMar>
              <w:top w:w="80" w:type="dxa"/>
              <w:bottom w:w="80" w:type="dxa"/>
              <w:left w:w="140" w:type="dxa"/>
              <w:right w:w="140" w:type="dxa"/>
            </w:tcMar>
          </w:tcPr>
          <w:p>
            <w:pPr>
              <w:spacing w:before="80" w:after="80" w:line="276" w:lineRule="auto"/>
            </w:pPr>
            <w:r>
              <w:rPr>
                <w:color w:val="1E293B"/>
                <w:sz w:val="20"/>
              </w:rPr>
              <w:t>Joint</w:t>
            </w:r>
          </w:p>
        </w:tc>
        <w:tc>
          <w:tcPr>
            <w:tcW w:type="dxa" w:w="2484"/>
            <w:shd w:val="clear" w:color="auto" w:fill="FFFFFF"/>
            <w:tcMar>
              <w:top w:w="80" w:type="dxa"/>
              <w:bottom w:w="80" w:type="dxa"/>
              <w:left w:w="140" w:type="dxa"/>
              <w:right w:w="140" w:type="dxa"/>
            </w:tcMar>
          </w:tcPr>
          <w:p>
            <w:pPr>
              <w:spacing w:before="80" w:after="80" w:line="276" w:lineRule="auto"/>
            </w:pPr>
            <w:r>
              <w:rPr>
                <w:color w:val="1E293B"/>
                <w:sz w:val="20"/>
              </w:rPr>
              <w:t>Week 2</w:t>
            </w:r>
          </w:p>
        </w:tc>
      </w:tr>
    </w:tbl>
    <w:p>
      <w:pPr>
        <w:spacing w:before="0" w:after="120"/>
      </w:pPr>
    </w:p>
    <w:p>
      <w:pPr>
        <w:spacing w:before="60" w:after="80"/>
      </w:pPr>
      <w:r/>
      <w:r>
        <w:rPr>
          <w:b/>
        </w:rPr>
        <w:t>Sign-Off Matrix:</w:t>
      </w:r>
      <w:r/>
    </w:p>
    <w:tbl>
      <w:tblPr>
        <w:tblW w:type="auto" w:w="0"/>
        <w:jc w:val="center"/>
        <w:tblLayout w:type="autofit"/>
        <w:tblLook w:firstColumn="1" w:firstRow="1" w:lastColumn="0" w:lastRow="0" w:noHBand="0" w:noVBand="1" w:val="04A0"/>
      </w:tblPr>
      <w:tblGrid>
        <w:gridCol w:w="4968"/>
        <w:gridCol w:w="4968"/>
      </w:tblGrid>
      <w:tr>
        <w:tc>
          <w:tcPr>
            <w:tcW w:type="dxa" w:w="4968"/>
            <w:shd w:val="clear" w:color="auto" w:fill="0F172A"/>
            <w:tcMar>
              <w:top w:w="120" w:type="dxa"/>
              <w:bottom w:w="120" w:type="dxa"/>
              <w:left w:w="140" w:type="dxa"/>
              <w:right w:w="140" w:type="dxa"/>
            </w:tcMar>
          </w:tcPr>
          <w:p>
            <w:pPr>
              <w:spacing w:before="80" w:after="80" w:line="276" w:lineRule="auto"/>
            </w:pPr>
            <w:r>
              <w:rPr>
                <w:b/>
                <w:color w:val="FFFFFF"/>
                <w:sz w:val="20"/>
              </w:rPr>
              <w:t>Central City Concern</w:t>
            </w:r>
          </w:p>
        </w:tc>
        <w:tc>
          <w:tcPr>
            <w:tcW w:type="dxa" w:w="4968"/>
            <w:shd w:val="clear" w:color="auto" w:fill="0F172A"/>
            <w:tcMar>
              <w:top w:w="120" w:type="dxa"/>
              <w:bottom w:w="120" w:type="dxa"/>
              <w:left w:w="140" w:type="dxa"/>
              <w:right w:w="140" w:type="dxa"/>
            </w:tcMar>
          </w:tcPr>
          <w:p>
            <w:pPr>
              <w:spacing w:before="80" w:after="80" w:line="276" w:lineRule="auto"/>
            </w:pPr>
            <w:r>
              <w:rPr>
                <w:b/>
                <w:color w:val="FFFFFF"/>
                <w:sz w:val="20"/>
              </w:rPr>
              <w:t>KVANN HEALTH LLC</w:t>
            </w:r>
          </w:p>
        </w:tc>
      </w:tr>
      <w:tr>
        <w:tc>
          <w:tcPr>
            <w:tcW w:type="dxa" w:w="4968"/>
            <w:shd w:val="clear" w:color="auto" w:fill="F8FAFC"/>
            <w:tcMar>
              <w:top w:w="80" w:type="dxa"/>
              <w:bottom w:w="80" w:type="dxa"/>
              <w:left w:w="140" w:type="dxa"/>
              <w:right w:w="140" w:type="dxa"/>
            </w:tcMar>
          </w:tcPr>
          <w:p>
            <w:pPr>
              <w:spacing w:before="80" w:after="80" w:line="276" w:lineRule="auto"/>
            </w:pPr>
            <w:r>
              <w:rPr>
                <w:color w:val="1E293B"/>
                <w:sz w:val="20"/>
              </w:rPr>
              <w:t>Name: ________________________</w:t>
            </w:r>
          </w:p>
        </w:tc>
        <w:tc>
          <w:tcPr>
            <w:tcW w:type="dxa" w:w="4968"/>
            <w:shd w:val="clear" w:color="auto" w:fill="F8FAFC"/>
            <w:tcMar>
              <w:top w:w="80" w:type="dxa"/>
              <w:bottom w:w="80" w:type="dxa"/>
              <w:left w:w="140" w:type="dxa"/>
              <w:right w:w="140" w:type="dxa"/>
            </w:tcMar>
          </w:tcPr>
          <w:p>
            <w:pPr>
              <w:spacing w:before="80" w:after="80" w:line="276" w:lineRule="auto"/>
            </w:pPr>
            <w:r>
              <w:rPr>
                <w:color w:val="1E293B"/>
                <w:sz w:val="20"/>
              </w:rPr>
              <w:t>Name: ________________________</w:t>
            </w:r>
          </w:p>
        </w:tc>
      </w:tr>
      <w:tr>
        <w:tc>
          <w:tcPr>
            <w:tcW w:type="dxa" w:w="4968"/>
            <w:shd w:val="clear" w:color="auto" w:fill="FFFFFF"/>
            <w:tcMar>
              <w:top w:w="80" w:type="dxa"/>
              <w:bottom w:w="80" w:type="dxa"/>
              <w:left w:w="140" w:type="dxa"/>
              <w:right w:w="140" w:type="dxa"/>
            </w:tcMar>
          </w:tcPr>
          <w:p>
            <w:pPr>
              <w:spacing w:before="80" w:after="80" w:line="276" w:lineRule="auto"/>
            </w:pPr>
            <w:r>
              <w:rPr>
                <w:color w:val="1E293B"/>
                <w:sz w:val="20"/>
              </w:rPr>
              <w:t>Title: Executive Sponsor</w:t>
            </w:r>
          </w:p>
        </w:tc>
        <w:tc>
          <w:tcPr>
            <w:tcW w:type="dxa" w:w="4968"/>
            <w:shd w:val="clear" w:color="auto" w:fill="FFFFFF"/>
            <w:tcMar>
              <w:top w:w="80" w:type="dxa"/>
              <w:bottom w:w="80" w:type="dxa"/>
              <w:left w:w="140" w:type="dxa"/>
              <w:right w:w="140" w:type="dxa"/>
            </w:tcMar>
          </w:tcPr>
          <w:p>
            <w:pPr>
              <w:spacing w:before="80" w:after="80" w:line="276" w:lineRule="auto"/>
            </w:pPr>
            <w:r>
              <w:rPr>
                <w:color w:val="1E293B"/>
                <w:sz w:val="20"/>
              </w:rPr>
              <w:t>Title: Chief Executive Officer / Chief Medical Officer</w:t>
            </w:r>
          </w:p>
        </w:tc>
      </w:tr>
      <w:tr>
        <w:tc>
          <w:tcPr>
            <w:tcW w:type="dxa" w:w="4968"/>
            <w:shd w:val="clear" w:color="auto" w:fill="F8FAFC"/>
            <w:tcMar>
              <w:top w:w="80" w:type="dxa"/>
              <w:bottom w:w="80" w:type="dxa"/>
              <w:left w:w="140" w:type="dxa"/>
              <w:right w:w="140" w:type="dxa"/>
            </w:tcMar>
          </w:tcPr>
          <w:p>
            <w:pPr>
              <w:spacing w:before="80" w:after="80" w:line="276" w:lineRule="auto"/>
            </w:pPr>
            <w:r>
              <w:rPr>
                <w:color w:val="1E293B"/>
                <w:sz w:val="20"/>
              </w:rPr>
              <w:t>Signature: ____________________</w:t>
            </w:r>
          </w:p>
        </w:tc>
        <w:tc>
          <w:tcPr>
            <w:tcW w:type="dxa" w:w="4968"/>
            <w:shd w:val="clear" w:color="auto" w:fill="F8FAFC"/>
            <w:tcMar>
              <w:top w:w="80" w:type="dxa"/>
              <w:bottom w:w="80" w:type="dxa"/>
              <w:left w:w="140" w:type="dxa"/>
              <w:right w:w="140" w:type="dxa"/>
            </w:tcMar>
          </w:tcPr>
          <w:p>
            <w:pPr>
              <w:spacing w:before="80" w:after="80" w:line="276" w:lineRule="auto"/>
            </w:pPr>
            <w:r>
              <w:rPr>
                <w:color w:val="1E293B"/>
                <w:sz w:val="20"/>
              </w:rPr>
              <w:t>Signature: ____________________</w:t>
            </w:r>
          </w:p>
        </w:tc>
      </w:tr>
      <w:tr>
        <w:tc>
          <w:tcPr>
            <w:tcW w:type="dxa" w:w="4968"/>
            <w:shd w:val="clear" w:color="auto" w:fill="FFFFFF"/>
            <w:tcMar>
              <w:top w:w="80" w:type="dxa"/>
              <w:bottom w:w="80" w:type="dxa"/>
              <w:left w:w="140" w:type="dxa"/>
              <w:right w:w="140" w:type="dxa"/>
            </w:tcMar>
          </w:tcPr>
          <w:p>
            <w:pPr>
              <w:spacing w:before="80" w:after="80" w:line="276" w:lineRule="auto"/>
            </w:pPr>
            <w:r>
              <w:rPr>
                <w:color w:val="1E293B"/>
                <w:sz w:val="20"/>
              </w:rPr>
              <w:t>Date: ________________________</w:t>
            </w:r>
          </w:p>
        </w:tc>
        <w:tc>
          <w:tcPr>
            <w:tcW w:type="dxa" w:w="4968"/>
            <w:shd w:val="clear" w:color="auto" w:fill="FFFFFF"/>
            <w:tcMar>
              <w:top w:w="80" w:type="dxa"/>
              <w:bottom w:w="80" w:type="dxa"/>
              <w:left w:w="140" w:type="dxa"/>
              <w:right w:w="140" w:type="dxa"/>
            </w:tcMar>
          </w:tcPr>
          <w:p>
            <w:pPr>
              <w:spacing w:before="80" w:after="80" w:line="276" w:lineRule="auto"/>
            </w:pPr>
            <w:r>
              <w:rPr>
                <w:color w:val="1E293B"/>
                <w:sz w:val="20"/>
              </w:rPr>
              <w:t>Date: ________________________</w:t>
            </w:r>
          </w:p>
        </w:tc>
      </w:tr>
    </w:tbl>
    <w:p>
      <w:pPr>
        <w:spacing w:before="0" w:after="120"/>
      </w:pP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E29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