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20" w:after="120"/>
      </w:pPr>
      <w:r>
        <w:rPr>
          <w:rFonts w:ascii="Calibri" w:hAnsi="Calibri"/>
          <w:b/>
          <w:color w:val="0F172A"/>
          <w:sz w:val="44"/>
        </w:rPr>
        <w:t>KVANN FLOW — Tactical Roadmap (Immediate Execution)</w:t>
      </w:r>
    </w:p>
    <w:p>
      <w:pPr>
        <w:spacing w:before="60" w:after="80"/>
      </w:pPr>
      <w:r/>
      <w:r>
        <w:rPr>
          <w:b/>
        </w:rPr>
        <w:t>Version:</w:t>
      </w:r>
      <w:r>
        <w:t xml:space="preserve"> 1.2.0 · </w:t>
      </w:r>
      <w:r>
        <w:rPr>
          <w:b/>
        </w:rPr>
        <w:t>Date:</w:t>
      </w:r>
      <w:r>
        <w:t xml:space="preserve"> 2026-09-14 · </w:t>
      </w:r>
      <w:r>
        <w:rPr>
          <w:b/>
        </w:rPr>
        <w:t>Owner:</w:t>
      </w:r>
      <w:r>
        <w:t xml:space="preserve"> Alexey</w:t>
      </w:r>
    </w:p>
    <w:p>
      <w:pPr>
        <w:spacing w:before="60" w:after="80"/>
      </w:pPr>
      <w:r/>
      <w:r>
        <w:rPr>
          <w:b/>
        </w:rPr>
        <w:t>Supersedes (operationally, not historically):</w:t>
      </w:r>
      <w:r>
        <w:t xml:space="preserve"> `2026-07-27_WAVE2_ROADMAP_DRAFT.md` — see disposition note in §6</w:t>
      </w:r>
    </w:p>
    <w:p>
      <w:pPr>
        <w:spacing w:before="60" w:after="80"/>
      </w:pPr>
      <w:r/>
      <w:r>
        <w:rPr>
          <w:b/>
        </w:rPr>
        <w:t>Scope:</w:t>
      </w:r>
      <w:r>
        <w:t xml:space="preserve"> Today → CCC paid pilot + Oct 20 in-person proposal + accelerator submissions</w:t>
      </w:r>
    </w:p>
    <w:p>
      <w:pPr>
        <w:spacing w:before="60" w:after="80"/>
      </w:pPr>
      <w:r/>
      <w:r>
        <w:rPr>
          <w:b/>
        </w:rPr>
        <w:t>Anchor dates:</w:t>
      </w:r>
      <w:r>
        <w:t xml:space="preserve"> TODAY Mon 9/14 Zoom (Joe, Jaime, Alexey) · Oct 20 in-person proposal (2nd provider org)</w:t>
      </w:r>
    </w:p>
    <w:p>
      <w:pPr>
        <w:spacing w:before="280" w:after="80"/>
      </w:pPr>
      <w:r>
        <w:rPr>
          <w:rFonts w:ascii="Calibri" w:hAnsi="Calibri"/>
          <w:b/>
          <w:color w:val="0D9488"/>
          <w:sz w:val="30"/>
        </w:rPr>
        <w:t>0. Guiding Constraints (from founder input &amp; agent synthesis, 2026-09-14)</w:t>
      </w:r>
    </w:p>
    <w:p>
      <w:pPr>
        <w:spacing w:before="60" w:after="80"/>
      </w:pPr>
      <w:r>
        <w:t xml:space="preserve">1. </w:t>
      </w:r>
      <w:r>
        <w:rPr>
          <w:b/>
        </w:rPr>
        <w:t>CCC pilot = Pareto scope.</w:t>
      </w:r>
      <w:r>
        <w:t xml:space="preserve"> Start with the simplest thing that hooks the client: Gravity</w:t>
      </w:r>
    </w:p>
    <w:p>
      <w:pPr>
        <w:spacing w:before="60" w:after="80"/>
      </w:pPr>
      <w:r>
        <w:t>Stacking + Lunch Firewall + TNA dashboard for 2–3 volunteer providers, staff-facing only.</w:t>
      </w:r>
    </w:p>
    <w:p>
      <w:pPr>
        <w:spacing w:before="60" w:after="80"/>
      </w:pPr>
      <w:r>
        <w:t>80% of perceived value at 20% of effort. No patient-facing UI, no Pillar 1/3 in pilot.</w:t>
      </w:r>
    </w:p>
    <w:p>
      <w:pPr>
        <w:spacing w:before="60" w:after="80"/>
      </w:pPr>
      <w:r>
        <w:t xml:space="preserve">2. </w:t>
      </w:r>
      <w:r>
        <w:rPr>
          <w:b/>
        </w:rPr>
        <w:t>Paid pilot pricing structure (DECIDED):</w:t>
      </w:r>
      <w:r/>
    </w:p>
    <w:p>
      <w:pPr>
        <w:pStyle w:val="ListBullet"/>
        <w:spacing w:before="20" w:after="40"/>
      </w:pPr>
      <w:r/>
      <w:r>
        <w:rPr>
          <w:b/>
        </w:rPr>
        <w:t>Pilot Package:</w:t>
      </w:r>
      <w:r>
        <w:t xml:space="preserve"> Fixed-Fee </w:t>
      </w:r>
      <w:r>
        <w:rPr>
          <w:b/>
        </w:rPr>
        <w:t>$3,500 – $5,000 flat</w:t>
      </w:r>
      <w:r>
        <w:t xml:space="preserve"> for a 90-day pilot across 2–3 volunteer providers.</w:t>
      </w:r>
    </w:p>
    <w:p>
      <w:pPr>
        <w:pStyle w:val="ListBullet"/>
        <w:spacing w:before="20" w:after="40"/>
      </w:pPr>
      <w:r/>
      <w:r>
        <w:rPr>
          <w:b/>
        </w:rPr>
        <w:t>Annual Credit:</w:t>
      </w:r>
      <w:r>
        <w:t xml:space="preserve"> 100% of the pilot fee is credited toward their Year 1 subscription upon full rollout.</w:t>
      </w:r>
    </w:p>
    <w:p>
      <w:pPr>
        <w:pStyle w:val="ListBullet"/>
        <w:spacing w:before="20" w:after="40"/>
      </w:pPr>
      <w:r/>
      <w:r>
        <w:rPr>
          <w:b/>
        </w:rPr>
        <w:t>Post-Pilot Anchor:</w:t>
      </w:r>
      <w:r>
        <w:t xml:space="preserve"> Standard annual subscription at </w:t>
      </w:r>
      <w:r>
        <w:rPr>
          <w:b/>
        </w:rPr>
        <w:t>$149/MD/month</w:t>
      </w:r>
      <w:r>
        <w:t>.</w:t>
      </w:r>
    </w:p>
    <w:p>
      <w:pPr>
        <w:pStyle w:val="ListBullet"/>
        <w:spacing w:before="20" w:after="40"/>
      </w:pPr>
      <w:r/>
      <w:r>
        <w:rPr>
          <w:b/>
        </w:rPr>
        <w:t>Satisfaction Clause &amp; Refund Trigger:</w:t>
      </w:r>
      <w:r>
        <w:t xml:space="preserve"> Full refund upon written notice within 30 days if schedule density improvement is </w:t>
      </w:r>
      <w:r>
        <w:rPr>
          <w:b/>
        </w:rPr>
        <w:t>&lt;5% measured against the clinic's historical 30-day pre-pilot baseline</w:t>
      </w:r>
      <w:r>
        <w:t>, or if volunteer providers veto clinical safety.</w:t>
      </w:r>
    </w:p>
    <w:p>
      <w:pPr>
        <w:spacing w:before="60" w:after="80"/>
      </w:pPr>
      <w:r>
        <w:t xml:space="preserve">3. </w:t>
      </w:r>
      <w:r>
        <w:rPr>
          <w:b/>
        </w:rPr>
        <w:t>Assume CCC is on OCHIN-hosted Epic:</w:t>
      </w:r>
      <w:r/>
    </w:p>
    <w:p>
      <w:pPr>
        <w:spacing w:before="60" w:after="80"/>
      </w:pPr>
      <w:r>
        <w:t xml:space="preserve">Consequence: OCHIN is a *gatekeeper*, not an option — CCC's executive sponsor (CIO/CMIO) must submit the integration through </w:t>
      </w:r>
      <w:r>
        <w:rPr>
          <w:b/>
        </w:rPr>
        <w:t>CCC's established OCHIN change-control process</w:t>
      </w:r>
      <w:r>
        <w:t>.</w:t>
      </w:r>
    </w:p>
    <w:p>
      <w:pPr>
        <w:spacing w:before="60" w:after="80"/>
      </w:pPr>
      <w:r>
        <w:t xml:space="preserve">4. </w:t>
      </w:r>
      <w:r>
        <w:rPr>
          <w:b/>
        </w:rPr>
        <w:t>CCC proposal goes out AFTER today's call</w:t>
      </w:r>
      <w:r>
        <w:t>, aligned with Joe &amp; Jaime.</w:t>
      </w:r>
    </w:p>
    <w:p>
      <w:pPr>
        <w:spacing w:before="60" w:after="80"/>
      </w:pPr>
      <w:r>
        <w:t xml:space="preserve">5. </w:t>
      </w:r>
      <w:r>
        <w:rPr>
          <w:b/>
        </w:rPr>
        <w:t>Zero pre-capital speculative hiring (DECIDED):</w:t>
      </w:r>
      <w:r>
        <w:t xml:space="preserve"> All Pre-Day-0 engineering remains 100% founder-led (assisted by OpenClaw and KIMI). Contract hires (10–15 hrs/wk QA/EHR specialist) are triggered strictly upon signed CCC MoU/BAA with sandbox credentials or accelerator SAFE funding receipt.</w:t>
      </w:r>
    </w:p>
    <w:p>
      <w:pPr>
        <w:spacing w:before="280" w:after="80"/>
      </w:pPr>
      <w:r>
        <w:rPr>
          <w:rFonts w:ascii="Calibri" w:hAnsi="Calibri"/>
          <w:b/>
          <w:color w:val="0D9488"/>
          <w:sz w:val="30"/>
        </w:rPr>
        <w:t>1. Track A — CCC Pilot Motion (This Week → ~Week 10)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  <w:shd w:val="clear" w:color="auto" w:fill="0F172A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b/>
                <w:color w:val="FFFFFF"/>
                <w:sz w:val="20"/>
              </w:rPr>
              <w:t>When</w:t>
            </w:r>
          </w:p>
        </w:tc>
        <w:tc>
          <w:tcPr>
            <w:tcW w:type="dxa" w:w="2484"/>
            <w:shd w:val="clear" w:color="auto" w:fill="0F172A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b/>
                <w:color w:val="FFFFFF"/>
                <w:sz w:val="20"/>
              </w:rPr>
              <w:t>Action</w:t>
            </w:r>
          </w:p>
        </w:tc>
        <w:tc>
          <w:tcPr>
            <w:tcW w:type="dxa" w:w="2484"/>
            <w:shd w:val="clear" w:color="auto" w:fill="0F172A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b/>
                <w:color w:val="FFFFFF"/>
                <w:sz w:val="20"/>
              </w:rPr>
              <w:t>Owner</w:t>
            </w:r>
          </w:p>
        </w:tc>
        <w:tc>
          <w:tcPr>
            <w:tcW w:type="dxa" w:w="2484"/>
            <w:shd w:val="clear" w:color="auto" w:fill="0F172A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b/>
                <w:color w:val="FFFFFF"/>
                <w:sz w:val="20"/>
              </w:rPr>
              <w:t>Notes</w:t>
            </w:r>
          </w:p>
        </w:tc>
      </w:tr>
      <w:tr>
        <w:tc>
          <w:tcPr>
            <w:tcW w:type="dxa" w:w="2484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**Today, pre-call**</w:t>
            </w:r>
          </w:p>
        </w:tc>
        <w:tc>
          <w:tcPr>
            <w:tcW w:type="dxa" w:w="2484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Review this roadmap + Jaime's SoW sample shape</w:t>
            </w:r>
          </w:p>
        </w:tc>
        <w:tc>
          <w:tcPr>
            <w:tcW w:type="dxa" w:w="2484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All</w:t>
            </w:r>
          </w:p>
        </w:tc>
        <w:tc>
          <w:tcPr>
            <w:tcW w:type="dxa" w:w="2484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Call agenda: pilot scope, pricing posture, who asks CCC about OCHIN</w:t>
            </w:r>
          </w:p>
        </w:tc>
      </w:tr>
      <w:tr>
        <w:tc>
          <w:tcPr>
            <w:tcW w:type="dxa" w:w="2484"/>
            <w:shd w:val="clear" w:color="auto" w:fill="FFFFFF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**Today, on call**</w:t>
            </w:r>
          </w:p>
        </w:tc>
        <w:tc>
          <w:tcPr>
            <w:tcW w:type="dxa" w:w="2484"/>
            <w:shd w:val="clear" w:color="auto" w:fill="FFFFFF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Decide: paid-pilot pricing posture; confirm Joe asks CCC about their Epic/OCHIN arrangement; assign proposal sign-off</w:t>
            </w:r>
          </w:p>
        </w:tc>
        <w:tc>
          <w:tcPr>
            <w:tcW w:type="dxa" w:w="2484"/>
            <w:shd w:val="clear" w:color="auto" w:fill="FFFFFF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All</w:t>
            </w:r>
          </w:p>
        </w:tc>
        <w:tc>
          <w:tcPr>
            <w:tcW w:type="dxa" w:w="2484"/>
            <w:shd w:val="clear" w:color="auto" w:fill="FFFFFF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3 decisions, then proposal writing starts</w:t>
            </w:r>
          </w:p>
        </w:tc>
      </w:tr>
      <w:tr>
        <w:tc>
          <w:tcPr>
            <w:tcW w:type="dxa" w:w="2484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**Days 1–3**</w:t>
            </w:r>
          </w:p>
        </w:tc>
        <w:tc>
          <w:tcPr>
            <w:tcW w:type="dxa" w:w="2484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Draft CCC Pilot Proposal (2–3 pp, SoW layout per Jaime's sample): pilot timeline, phased approach, CCC-side roles with **hour ranges** (CIO, COO, Epic Admin/OCHIN TC, PM, QA — 30–47 hrs total, keep it overview-level), success criteria (≥5% density gain over 30-day baseline), paid terms ($3.5k–$5k flat with 100% Year 1 credit + 30-day satisfaction clause)</w:t>
            </w:r>
          </w:p>
        </w:tc>
        <w:tc>
          <w:tcPr>
            <w:tcW w:type="dxa" w:w="2484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Alexey (draft) → Jaime/Joe (review)</w:t>
            </w:r>
          </w:p>
        </w:tc>
        <w:tc>
          <w:tcPr>
            <w:tcW w:type="dxa" w:w="2484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Source material: OneXQ CCC talking points + one-pager (July), WAVE2 §2 (phases &amp; gates), vision doc ROI table</w:t>
            </w:r>
          </w:p>
        </w:tc>
      </w:tr>
      <w:tr>
        <w:tc>
          <w:tcPr>
            <w:tcW w:type="dxa" w:w="2484"/>
            <w:shd w:val="clear" w:color="auto" w:fill="FFFFFF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**Days 4–5**</w:t>
            </w:r>
          </w:p>
        </w:tc>
        <w:tc>
          <w:tcPr>
            <w:tcW w:type="dxa" w:w="2484"/>
            <w:shd w:val="clear" w:color="auto" w:fill="FFFFFF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Internal review → send to CCC</w:t>
            </w:r>
          </w:p>
        </w:tc>
        <w:tc>
          <w:tcPr>
            <w:tcW w:type="dxa" w:w="2484"/>
            <w:shd w:val="clear" w:color="auto" w:fill="FFFFFF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Jaime/Joe</w:t>
            </w:r>
          </w:p>
        </w:tc>
        <w:tc>
          <w:tcPr>
            <w:tcW w:type="dxa" w:w="2484"/>
            <w:shd w:val="clear" w:color="auto" w:fill="FFFFFF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Target: in CCC's hands by end of week</w:t>
            </w:r>
          </w:p>
        </w:tc>
      </w:tr>
      <w:tr>
        <w:tc>
          <w:tcPr>
            <w:tcW w:type="dxa" w:w="2484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**Weeks 2–4**</w:t>
            </w:r>
          </w:p>
        </w:tc>
        <w:tc>
          <w:tcPr>
            <w:tcW w:type="dxa" w:w="2484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CCC decision cycle; engage CCC CIO to submit initiative via OCHIN change-control process **before** final contract signature (WAVE2 R-01 mitigation)</w:t>
            </w:r>
          </w:p>
        </w:tc>
        <w:tc>
          <w:tcPr>
            <w:tcW w:type="dxa" w:w="2484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Joe + CCC CIO</w:t>
            </w:r>
          </w:p>
        </w:tc>
        <w:tc>
          <w:tcPr>
            <w:tcW w:type="dxa" w:w="2484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OCHIN timeline confirmed in writing = hidden Day-0 prerequisite</w:t>
            </w:r>
          </w:p>
        </w:tc>
      </w:tr>
      <w:tr>
        <w:tc>
          <w:tcPr>
            <w:tcW w:type="dxa" w:w="2484"/>
            <w:shd w:val="clear" w:color="auto" w:fill="FFFFFF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**Weeks 2–4**</w:t>
            </w:r>
          </w:p>
        </w:tc>
        <w:tc>
          <w:tcPr>
            <w:tcW w:type="dxa" w:w="2484"/>
            <w:shd w:val="clear" w:color="auto" w:fill="FFFFFF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**Phase 0 Synthetic Data Calibration (pre-BAA):** If BAA takes &gt;3 weeks, calibrate models using Kvann Flow synthetic AOM/Tryon fixture harness to demonstrate schedule simulation without exposing PHI</w:t>
            </w:r>
          </w:p>
        </w:tc>
        <w:tc>
          <w:tcPr>
            <w:tcW w:type="dxa" w:w="2484"/>
            <w:shd w:val="clear" w:color="auto" w:fill="FFFFFF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Alexey</w:t>
            </w:r>
          </w:p>
        </w:tc>
        <w:tc>
          <w:tcPr>
            <w:tcW w:type="dxa" w:w="2484"/>
            <w:shd w:val="clear" w:color="auto" w:fill="FFFFFF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De-risks clinical onboarding without HIPAA delays</w:t>
            </w:r>
          </w:p>
        </w:tc>
      </w:tr>
      <w:tr>
        <w:tc>
          <w:tcPr>
            <w:tcW w:type="dxa" w:w="2484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**Weeks 4–8**</w:t>
            </w:r>
          </w:p>
        </w:tc>
        <w:tc>
          <w:tcPr>
            <w:tcW w:type="dxa" w:w="2484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MoU → BAA → open.epic agreement → **Day 0**</w:t>
            </w:r>
          </w:p>
        </w:tc>
        <w:tc>
          <w:tcPr>
            <w:tcW w:type="dxa" w:w="2484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Legal/Joe</w:t>
            </w:r>
          </w:p>
        </w:tc>
        <w:tc>
          <w:tcPr>
            <w:tcW w:type="dxa" w:w="2484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Per WAVE2 Commercial Track (8–10 weeks total calendar)</w:t>
            </w:r>
          </w:p>
        </w:tc>
      </w:tr>
      <w:tr>
        <w:tc>
          <w:tcPr>
            <w:tcW w:type="dxa" w:w="2484"/>
            <w:shd w:val="clear" w:color="auto" w:fill="FFFFFF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**Post-Day-0**</w:t>
            </w:r>
          </w:p>
        </w:tc>
        <w:tc>
          <w:tcPr>
            <w:tcW w:type="dxa" w:w="2484"/>
            <w:shd w:val="clear" w:color="auto" w:fill="FFFFFF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Phases 1–4 per WAVE2 §2: Connect (wks 1–4) → Calibrate (5–9) → Validate (10–14) → Live pilot (15–20, 4-week run at one clinic)</w:t>
            </w:r>
          </w:p>
        </w:tc>
        <w:tc>
          <w:tcPr>
            <w:tcW w:type="dxa" w:w="2484"/>
            <w:shd w:val="clear" w:color="auto" w:fill="FFFFFF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Alexey + hires (contingent)</w:t>
            </w:r>
          </w:p>
        </w:tc>
        <w:tc>
          <w:tcPr>
            <w:tcW w:type="dxa" w:w="2484"/>
            <w:shd w:val="clear" w:color="auto" w:fill="FFFFFF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CCC IT effort: 30–47 hrs total — that number goes in the proposal</w:t>
            </w:r>
          </w:p>
        </w:tc>
      </w:tr>
    </w:tbl>
    <w:p>
      <w:pPr>
        <w:spacing w:before="0" w:after="120"/>
      </w:pPr>
    </w:p>
    <w:p>
      <w:pPr>
        <w:spacing w:before="60" w:after="80"/>
      </w:pPr>
      <w:r/>
      <w:r>
        <w:rPr>
          <w:b/>
        </w:rPr>
        <w:t>Contingency Tier (Read-Only / Recommendation Mode):</w:t>
      </w:r>
      <w:r>
        <w:t xml:space="preserve"> If OCHIN change-control signals denial or &gt;6-week delay, immediately activate the pre-designed contingency tier: staff export daily schedule reports (CSV), Kvann Flow generates optimized recommendations on the Tetris dashboard, and clinic staff adjust in Epic manually. Demonstrates immediate yield improvement without OCHIN write-back gatekeeping.</w:t>
      </w:r>
    </w:p>
    <w:p>
      <w:pPr>
        <w:spacing w:before="280" w:after="80"/>
      </w:pPr>
      <w:r>
        <w:rPr>
          <w:rFonts w:ascii="Calibri" w:hAnsi="Calibri"/>
          <w:b/>
          <w:color w:val="0D9488"/>
          <w:sz w:val="30"/>
        </w:rPr>
        <w:t>2. Track B — Engineering: Pilot-Credible Kvann Flow (Weeks 1–4, parallel)</w:t>
      </w:r>
    </w:p>
    <w:p>
      <w:pPr>
        <w:spacing w:before="60" w:after="80"/>
      </w:pPr>
      <w:r>
        <w:t>Sequenced from WAVE2 Gate 1 checklist and updated against live codebase state (2026-09-14):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312"/>
            <w:shd w:val="clear" w:color="auto" w:fill="0F172A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b/>
                <w:color w:val="FFFFFF"/>
                <w:sz w:val="20"/>
              </w:rPr>
              <w:t>Wk</w:t>
            </w:r>
          </w:p>
        </w:tc>
        <w:tc>
          <w:tcPr>
            <w:tcW w:type="dxa" w:w="3312"/>
            <w:shd w:val="clear" w:color="auto" w:fill="0F172A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b/>
                <w:color w:val="FFFFFF"/>
                <w:sz w:val="20"/>
              </w:rPr>
              <w:t>Item</w:t>
            </w:r>
          </w:p>
        </w:tc>
        <w:tc>
          <w:tcPr>
            <w:tcW w:type="dxa" w:w="3312"/>
            <w:shd w:val="clear" w:color="auto" w:fill="0F172A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b/>
                <w:color w:val="FFFFFF"/>
                <w:sz w:val="20"/>
              </w:rPr>
              <w:t>Current Live State &amp; Action</w:t>
            </w:r>
          </w:p>
        </w:tc>
      </w:tr>
      <w:tr>
        <w:tc>
          <w:tcPr>
            <w:tcW w:type="dxa" w:w="3312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1</w:t>
            </w:r>
          </w:p>
        </w:tc>
        <w:tc>
          <w:tcPr>
            <w:tcW w:type="dxa" w:w="3312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API key auth route-wide audit (P0)</w:t>
            </w:r>
          </w:p>
        </w:tc>
        <w:tc>
          <w:tcPr>
            <w:tcW w:type="dxa" w:w="3312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`src/auth/api_key.py` in place; audit all active FastAPI routes for dependency injection</w:t>
            </w:r>
          </w:p>
        </w:tc>
      </w:tr>
      <w:tr>
        <w:tc>
          <w:tcPr>
            <w:tcW w:type="dxa" w:w="3312"/>
            <w:shd w:val="clear" w:color="auto" w:fill="FFFFFF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1</w:t>
            </w:r>
          </w:p>
        </w:tc>
        <w:tc>
          <w:tcPr>
            <w:tcW w:type="dxa" w:w="3312"/>
            <w:shd w:val="clear" w:color="auto" w:fill="FFFFFF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`SIMULATION_CAVEATS.md` published (P0)</w:t>
            </w:r>
          </w:p>
        </w:tc>
        <w:tc>
          <w:tcPr>
            <w:tcW w:type="dxa" w:w="3312"/>
            <w:shd w:val="clear" w:color="auto" w:fill="FFFFFF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Draft and commit to `docs/` and `_DEVELOPMENT/`</w:t>
            </w:r>
          </w:p>
        </w:tc>
      </w:tr>
      <w:tr>
        <w:tc>
          <w:tcPr>
            <w:tcW w:type="dxa" w:w="3312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1</w:t>
            </w:r>
          </w:p>
        </w:tc>
        <w:tc>
          <w:tcPr>
            <w:tcW w:type="dxa" w:w="3312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Honest pilot framing in all outward docs — no "completed Epic integration" claims (P0)</w:t>
            </w:r>
          </w:p>
        </w:tc>
        <w:tc>
          <w:tcPr>
            <w:tcW w:type="dxa" w:w="3312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Applied across proposal and deck</w:t>
            </w:r>
          </w:p>
        </w:tc>
      </w:tr>
      <w:tr>
        <w:tc>
          <w:tcPr>
            <w:tcW w:type="dxa" w:w="3312"/>
            <w:shd w:val="clear" w:color="auto" w:fill="FFFFFF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2</w:t>
            </w:r>
          </w:p>
        </w:tc>
        <w:tc>
          <w:tcPr>
            <w:tcW w:type="dxa" w:w="3312"/>
            <w:shd w:val="clear" w:color="auto" w:fill="FFFFFF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Parameter reconciliation across config layers w/ provenance (P1)</w:t>
            </w:r>
          </w:p>
        </w:tc>
        <w:tc>
          <w:tcPr>
            <w:tcW w:type="dxa" w:w="3312"/>
            <w:shd w:val="clear" w:color="auto" w:fill="FFFFFF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Audit `src/config.py` vs simulator constants</w:t>
            </w:r>
          </w:p>
        </w:tc>
      </w:tr>
      <w:tr>
        <w:tc>
          <w:tcPr>
            <w:tcW w:type="dxa" w:w="3312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2</w:t>
            </w:r>
          </w:p>
        </w:tc>
        <w:tc>
          <w:tcPr>
            <w:tcW w:type="dxa" w:w="3312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Sprint 3 wiring verification + 10k-iteration validation run (P1)</w:t>
            </w:r>
          </w:p>
        </w:tc>
        <w:tc>
          <w:tcPr>
            <w:tcW w:type="dxa" w:w="3312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Run automated verification harness</w:t>
            </w:r>
          </w:p>
        </w:tc>
      </w:tr>
      <w:tr>
        <w:tc>
          <w:tcPr>
            <w:tcW w:type="dxa" w:w="3312"/>
            <w:shd w:val="clear" w:color="auto" w:fill="FFFFFF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2</w:t>
            </w:r>
          </w:p>
        </w:tc>
        <w:tc>
          <w:tcPr>
            <w:tcW w:type="dxa" w:w="3312"/>
            <w:shd w:val="clear" w:color="auto" w:fill="FFFFFF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Epic mock client `src/ehr/mock_client.py` (P1) — enables offline demos &amp; 80% of integration logic without OCHIN</w:t>
            </w:r>
          </w:p>
        </w:tc>
        <w:tc>
          <w:tcPr>
            <w:tcW w:type="dxa" w:w="3312"/>
            <w:shd w:val="clear" w:color="auto" w:fill="FFFFFF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High priority for demos</w:t>
            </w:r>
          </w:p>
        </w:tc>
      </w:tr>
      <w:tr>
        <w:tc>
          <w:tcPr>
            <w:tcW w:type="dxa" w:w="3312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2–3</w:t>
            </w:r>
          </w:p>
        </w:tc>
        <w:tc>
          <w:tcPr>
            <w:tcW w:type="dxa" w:w="3312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**Fix Epic sandbox blockers from July audit:** Implement JKU/JWKS endpoint (not static PEM) + complete scopes (Department, Location) (🔴 critical findings)</w:t>
            </w:r>
          </w:p>
        </w:tc>
        <w:tc>
          <w:tcPr>
            <w:tcW w:type="dxa" w:w="3312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Core blocker for open.epic conformance</w:t>
            </w:r>
          </w:p>
        </w:tc>
      </w:tr>
      <w:tr>
        <w:tc>
          <w:tcPr>
            <w:tcW w:type="dxa" w:w="3312"/>
            <w:shd w:val="clear" w:color="auto" w:fill="FFFFFF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3</w:t>
            </w:r>
          </w:p>
        </w:tc>
        <w:tc>
          <w:tcPr>
            <w:tcW w:type="dxa" w:w="3312"/>
            <w:shd w:val="clear" w:color="auto" w:fill="FFFFFF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Frontend type sync; production infra (Docker/Nginx/SSL, /health /ready) (P1)</w:t>
            </w:r>
          </w:p>
        </w:tc>
        <w:tc>
          <w:tcPr>
            <w:tcW w:type="dxa" w:w="3312"/>
            <w:shd w:val="clear" w:color="auto" w:fill="FFFFFF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FastAPI async engine &amp; Alembic ready; wrap Dockerfile</w:t>
            </w:r>
          </w:p>
        </w:tc>
      </w:tr>
      <w:tr>
        <w:tc>
          <w:tcPr>
            <w:tcW w:type="dxa" w:w="3312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4</w:t>
            </w:r>
          </w:p>
        </w:tc>
        <w:tc>
          <w:tcPr>
            <w:tcW w:type="dxa" w:w="3312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Demo rehearsal: 10-min script, relative-mode-comparison narrative, "skeptical CIO" Q&amp;A → **Gate 1: Engineering Ready**</w:t>
            </w:r>
          </w:p>
        </w:tc>
        <w:tc>
          <w:tcPr>
            <w:tcW w:type="dxa" w:w="3312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Run rehearsal with team</w:t>
            </w:r>
          </w:p>
        </w:tc>
      </w:tr>
    </w:tbl>
    <w:p>
      <w:pPr>
        <w:spacing w:before="0" w:after="120"/>
      </w:pPr>
    </w:p>
    <w:p>
      <w:pPr>
        <w:spacing w:before="60" w:after="80"/>
      </w:pPr>
      <w:r/>
      <w:r>
        <w:rPr>
          <w:b/>
        </w:rPr>
        <w:t>Sprint 4 (realistic chronic demand):</w:t>
      </w:r>
      <w:r>
        <w:t xml:space="preserve"> DEFER post-pilot (WAVE2 §7 recommendation stands)</w:t>
      </w:r>
    </w:p>
    <w:p>
      <w:pPr>
        <w:spacing w:before="60" w:after="80"/>
      </w:pPr>
      <w:r>
        <w:t>unless CCC explicitly demands MGMA-benchmarked absolute TNA. Ask that exact question at CCC's</w:t>
      </w:r>
    </w:p>
    <w:p>
      <w:pPr>
        <w:spacing w:before="60" w:after="80"/>
      </w:pPr>
      <w:r>
        <w:t>first technical review.</w:t>
      </w:r>
    </w:p>
    <w:p>
      <w:pPr>
        <w:spacing w:before="280" w:after="80"/>
      </w:pPr>
      <w:r>
        <w:rPr>
          <w:rFonts w:ascii="Calibri" w:hAnsi="Calibri"/>
          <w:b/>
          <w:color w:val="0D9488"/>
          <w:sz w:val="30"/>
        </w:rPr>
        <w:t>3. Track C — Accelerators (Weeks 2–4, Two-Tier Sequencing)</w:t>
      </w:r>
    </w:p>
    <w:p>
      <w:pPr>
        <w:spacing w:before="60" w:after="80"/>
      </w:pPr>
      <w:r/>
      <w:r>
        <w:rPr>
          <w:b/>
        </w:rPr>
        <w:t>Recommendation on Joe's timing question: apply NOW, in parallel with CCC.</w:t>
      </w:r>
      <w:r/>
    </w:p>
    <w:p>
      <w:pPr>
        <w:spacing w:before="60" w:after="80"/>
      </w:pPr>
      <w:r>
        <w:t>Cohort windows do not wait, and "pilot proposal in CCC's hands" is already a strong application narrative.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312"/>
            <w:shd w:val="clear" w:color="auto" w:fill="0F172A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b/>
                <w:color w:val="FFFFFF"/>
                <w:sz w:val="20"/>
              </w:rPr>
              <w:t>Tier</w:t>
            </w:r>
          </w:p>
        </w:tc>
        <w:tc>
          <w:tcPr>
            <w:tcW w:type="dxa" w:w="3312"/>
            <w:shd w:val="clear" w:color="auto" w:fill="0F172A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b/>
                <w:color w:val="FFFFFF"/>
                <w:sz w:val="20"/>
              </w:rPr>
              <w:t>When</w:t>
            </w:r>
          </w:p>
        </w:tc>
        <w:tc>
          <w:tcPr>
            <w:tcW w:type="dxa" w:w="3312"/>
            <w:shd w:val="clear" w:color="auto" w:fill="0F172A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b/>
                <w:color w:val="FFFFFF"/>
                <w:sz w:val="20"/>
              </w:rPr>
              <w:t>Action &amp; Requirements</w:t>
            </w:r>
          </w:p>
        </w:tc>
      </w:tr>
      <w:tr>
        <w:tc>
          <w:tcPr>
            <w:tcW w:type="dxa" w:w="3312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**Tier 1 (Immediate)**</w:t>
            </w:r>
          </w:p>
        </w:tc>
        <w:tc>
          <w:tcPr>
            <w:tcW w:type="dxa" w:w="3312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Wk 2</w:t>
            </w:r>
          </w:p>
        </w:tc>
        <w:tc>
          <w:tcPr>
            <w:tcW w:type="dxa" w:w="3312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Submit **Oregon Venture Fund** (Joe's Providence network; $250k–$1M) — pitch deck + executive summary; **zero website dependency**</w:t>
            </w:r>
          </w:p>
        </w:tc>
      </w:tr>
      <w:tr>
        <w:tc>
          <w:tcPr>
            <w:tcW w:type="dxa" w:w="3312"/>
            <w:shd w:val="clear" w:color="auto" w:fill="FFFFFF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**Tier 1 (Immediate)**</w:t>
            </w:r>
          </w:p>
        </w:tc>
        <w:tc>
          <w:tcPr>
            <w:tcW w:type="dxa" w:w="3312"/>
            <w:shd w:val="clear" w:color="auto" w:fill="FFFFFF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Wks 2–3</w:t>
            </w:r>
          </w:p>
        </w:tc>
        <w:tc>
          <w:tcPr>
            <w:tcW w:type="dxa" w:w="3312"/>
            <w:shd w:val="clear" w:color="auto" w:fill="FFFFFF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Submit **Microsoft for Startups Founders Hub** (non-dilutive; $1k–$5k Azure credits immediately, up to **$150k Azure + M365 licenses** at Build tier) — requires EIN (spec J-2) + live website (Track D) + LinkedIn page; adjudication 3–5 business days</w:t>
            </w:r>
          </w:p>
        </w:tc>
      </w:tr>
      <w:tr>
        <w:tc>
          <w:tcPr>
            <w:tcW w:type="dxa" w:w="3312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**Tier 2 (Web-Ready)**</w:t>
            </w:r>
          </w:p>
        </w:tc>
        <w:tc>
          <w:tcPr>
            <w:tcW w:type="dxa" w:w="3312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Wks 3–4</w:t>
            </w:r>
          </w:p>
        </w:tc>
        <w:tc>
          <w:tcPr>
            <w:tcW w:type="dxa" w:w="3312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Submit **Cedars-Sinai Accelerator+** ($100k/~3% SAFE, Epic fast-track) — requires v0.1 single-page website live + deck</w:t>
            </w:r>
          </w:p>
        </w:tc>
      </w:tr>
      <w:tr>
        <w:tc>
          <w:tcPr>
            <w:tcW w:type="dxa" w:w="3312"/>
            <w:shd w:val="clear" w:color="auto" w:fill="FFFFFF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**Tier 2 (Web-Ready)**</w:t>
            </w:r>
          </w:p>
        </w:tc>
        <w:tc>
          <w:tcPr>
            <w:tcW w:type="dxa" w:w="3312"/>
            <w:shd w:val="clear" w:color="auto" w:fill="FFFFFF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Wks 3–4</w:t>
            </w:r>
          </w:p>
        </w:tc>
        <w:tc>
          <w:tcPr>
            <w:tcW w:type="dxa" w:w="3312"/>
            <w:shd w:val="clear" w:color="auto" w:fill="FFFFFF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Submit **Mayo Clinic Platform** (data lake for future Pillar 1 triage engine)</w:t>
            </w:r>
          </w:p>
        </w:tc>
      </w:tr>
      <w:tr>
        <w:tc>
          <w:tcPr>
            <w:tcW w:type="dxa" w:w="3312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Non-Dilutive</w:t>
            </w:r>
          </w:p>
        </w:tc>
        <w:tc>
          <w:tcPr>
            <w:tcW w:type="dxa" w:w="3312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Wk 4+</w:t>
            </w:r>
          </w:p>
        </w:tc>
        <w:tc>
          <w:tcPr>
            <w:tcW w:type="dxa" w:w="3312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Optional: MedTech Innovator, MassChallenge HealthTech</w:t>
            </w:r>
          </w:p>
        </w:tc>
      </w:tr>
      <w:tr>
        <w:tc>
          <w:tcPr>
            <w:tcW w:type="dxa" w:w="3312"/>
            <w:shd w:val="clear" w:color="auto" w:fill="FFFFFF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Prerequisite</w:t>
            </w:r>
          </w:p>
        </w:tc>
        <w:tc>
          <w:tcPr>
            <w:tcW w:type="dxa" w:w="3312"/>
            <w:shd w:val="clear" w:color="auto" w:fill="FFFFFF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Wks 1–2</w:t>
            </w:r>
          </w:p>
        </w:tc>
        <w:tc>
          <w:tcPr>
            <w:tcW w:type="dxa" w:w="3312"/>
            <w:shd w:val="clear" w:color="auto" w:fill="FFFFFF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Pitch deck: Alexey builds 10-slide deck from Joe's existing PPT (Aug 28 action item) — hard prerequisite for Cedars-Sinai</w:t>
            </w:r>
          </w:p>
        </w:tc>
      </w:tr>
    </w:tbl>
    <w:p>
      <w:pPr>
        <w:spacing w:before="0" w:after="120"/>
      </w:pPr>
    </w:p>
    <w:p>
      <w:pPr>
        <w:spacing w:before="280" w:after="80"/>
      </w:pPr>
      <w:r>
        <w:rPr>
          <w:rFonts w:ascii="Calibri" w:hAnsi="Calibri"/>
          <w:b/>
          <w:color w:val="0D9488"/>
          <w:sz w:val="30"/>
        </w:rPr>
        <w:t>4. Track D — Corporate, Brand Defense &amp; Web Presence (Weeks 1–3)</w:t>
      </w:r>
    </w:p>
    <w:p>
      <w:pPr>
        <w:spacing w:before="60" w:after="80"/>
      </w:pPr>
      <w:r/>
      <w:r>
        <w:rPr>
          <w:b/>
        </w:rPr>
        <w:t>Execution authority:</w:t>
      </w:r>
      <w:r>
        <w:t xml:space="preserve"> `kvann_workspace/2026-08-22_KVAN Health LLC — Complete Formation &amp; Grant Enablement Spec.docx` (hardened spec: Cloudflare RBAC, zero shared credentials, GitHub Pages deploy, $110.44 total outlay). Track D rows below implement that spec; where wording differs, the spec wins on mechanics.</w:t>
      </w:r>
    </w:p>
    <w:p>
      <w:pPr>
        <w:spacing w:before="60" w:after="80"/>
      </w:pPr>
      <w:r/>
      <w:r>
        <w:rPr>
          <w:b/>
        </w:rPr>
        <w:t>Dependency chain (strict order):</w:t>
      </w:r>
      <w:r>
        <w:t xml:space="preserve"> Domains registered (Joe, spec J-4) → Cloudflare RBAC invite accepted (Alexey, A-1) → Email routing + SPF/DMARC/DNSSEC (A-2) → Landing page deploy on GitHub Pages (A-3) → LinkedIn company page (A-4) → Microsoft for Startups application (A-5, requires EIN + live website).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  <w:shd w:val="clear" w:color="auto" w:fill="0F172A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b/>
                <w:color w:val="FFFFFF"/>
                <w:sz w:val="20"/>
              </w:rPr>
              <w:t>Wk</w:t>
            </w:r>
          </w:p>
        </w:tc>
        <w:tc>
          <w:tcPr>
            <w:tcW w:type="dxa" w:w="2484"/>
            <w:shd w:val="clear" w:color="auto" w:fill="0F172A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b/>
                <w:color w:val="FFFFFF"/>
                <w:sz w:val="20"/>
              </w:rPr>
              <w:t>Action</w:t>
            </w:r>
          </w:p>
        </w:tc>
        <w:tc>
          <w:tcPr>
            <w:tcW w:type="dxa" w:w="2484"/>
            <w:shd w:val="clear" w:color="auto" w:fill="0F172A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b/>
                <w:color w:val="FFFFFF"/>
                <w:sz w:val="20"/>
              </w:rPr>
              <w:t>Owner</w:t>
            </w:r>
          </w:p>
        </w:tc>
        <w:tc>
          <w:tcPr>
            <w:tcW w:type="dxa" w:w="2484"/>
            <w:shd w:val="clear" w:color="auto" w:fill="0F172A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b/>
                <w:color w:val="FFFFFF"/>
                <w:sz w:val="20"/>
              </w:rPr>
              <w:t>Notes</w:t>
            </w:r>
          </w:p>
        </w:tc>
      </w:tr>
      <w:tr>
        <w:tc>
          <w:tcPr>
            <w:tcW w:type="dxa" w:w="2484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**Today (pre-call, ~5h sprint)**</w:t>
            </w:r>
          </w:p>
        </w:tc>
        <w:tc>
          <w:tcPr>
            <w:tcW w:type="dxa" w:w="2484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**Landing page v0.1 build:** single-page static site (problem: Swiss cheese + pajama time; product: 3 pillars, lead with Pillar 2; ROI table; team; pilot CTA; legal footer `© 2026 KVAN Health LLC`). Build &amp; stage today; go-live blocked only on domain registration</w:t>
            </w:r>
          </w:p>
        </w:tc>
        <w:tc>
          <w:tcPr>
            <w:tcW w:type="dxa" w:w="2484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Alexey</w:t>
            </w:r>
          </w:p>
        </w:tc>
        <w:tc>
          <w:tcPr>
            <w:tcW w:type="dxa" w:w="2484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Parallel: produce call collateral (decision brief) — see §7</w:t>
            </w:r>
          </w:p>
        </w:tc>
      </w:tr>
      <w:tr>
        <w:tc>
          <w:tcPr>
            <w:tcW w:type="dxa" w:w="2484"/>
            <w:shd w:val="clear" w:color="auto" w:fill="FFFFFF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1</w:t>
            </w:r>
          </w:p>
        </w:tc>
        <w:tc>
          <w:tcPr>
            <w:tcW w:type="dxa" w:w="2484"/>
            <w:shd w:val="clear" w:color="auto" w:fill="FFFFFF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**Domain Defense:** Secure **BOTH `kvanhealth.com` and `kvannhealth.com`** (Cloudflare Registrar, ~$10.44/yr each) and set up cross-redirects</w:t>
            </w:r>
          </w:p>
        </w:tc>
        <w:tc>
          <w:tcPr>
            <w:tcW w:type="dxa" w:w="2484"/>
            <w:shd w:val="clear" w:color="auto" w:fill="FFFFFF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Joe (spec J-4) / Jaime</w:t>
            </w:r>
          </w:p>
        </w:tc>
        <w:tc>
          <w:tcPr>
            <w:tcW w:type="dxa" w:w="2484"/>
            <w:shd w:val="clear" w:color="auto" w:fill="FFFFFF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Protects legal entity (`KVAN Health LLC`) and commercial brand (`Kvann Health`); decision item #3 on today's call</w:t>
            </w:r>
          </w:p>
        </w:tc>
      </w:tr>
      <w:tr>
        <w:tc>
          <w:tcPr>
            <w:tcW w:type="dxa" w:w="2484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1</w:t>
            </w:r>
          </w:p>
        </w:tc>
        <w:tc>
          <w:tcPr>
            <w:tcW w:type="dxa" w:w="2484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Cloudflare RBAC: Joe invites Alexey as Administrator (zero shared credentials); deploy email routing — virtual aliases `alexey@ / joe@ / jaime@ / info@kvanhealth.com` → personal inboxes, plus SPF + DMARC + DNSSEC</w:t>
            </w:r>
          </w:p>
        </w:tc>
        <w:tc>
          <w:tcPr>
            <w:tcW w:type="dxa" w:w="2484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Joe → Alexey (spec J-5, A-1, A-2)</w:t>
            </w:r>
          </w:p>
        </w:tc>
        <w:tc>
          <w:tcPr>
            <w:tcW w:type="dxa" w:w="2484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Professional email at $0 before M365 mailboxes unlock</w:t>
            </w:r>
          </w:p>
        </w:tc>
      </w:tr>
      <w:tr>
        <w:tc>
          <w:tcPr>
            <w:tcW w:type="dxa" w:w="2484"/>
            <w:shd w:val="clear" w:color="auto" w:fill="FFFFFF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1–2</w:t>
            </w:r>
          </w:p>
        </w:tc>
        <w:tc>
          <w:tcPr>
            <w:tcW w:type="dxa" w:w="2484"/>
            <w:shd w:val="clear" w:color="auto" w:fill="FFFFFF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Landing page go-live: GitHub Pages + CNAME + 4× apex A-records (proxied) + Full (Strict) SSL per spec A-3</w:t>
            </w:r>
          </w:p>
        </w:tc>
        <w:tc>
          <w:tcPr>
            <w:tcW w:type="dxa" w:w="2484"/>
            <w:shd w:val="clear" w:color="auto" w:fill="FFFFFF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Alexey</w:t>
            </w:r>
          </w:p>
        </w:tc>
        <w:tc>
          <w:tcPr>
            <w:tcW w:type="dxa" w:w="2484"/>
            <w:shd w:val="clear" w:color="auto" w:fill="FFFFFF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Unblocks Cedars-Sinai / Mayo (Track C Tier 2) and MS for Startups</w:t>
            </w:r>
          </w:p>
        </w:tc>
      </w:tr>
      <w:tr>
        <w:tc>
          <w:tcPr>
            <w:tcW w:type="dxa" w:w="2484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2</w:t>
            </w:r>
          </w:p>
        </w:tc>
        <w:tc>
          <w:tcPr>
            <w:tcW w:type="dxa" w:w="2484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LinkedIn company page (KVAN Health LLC), founders linked (spec A-4)</w:t>
            </w:r>
          </w:p>
        </w:tc>
        <w:tc>
          <w:tcPr>
            <w:tcW w:type="dxa" w:w="2484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Alexey + Joe + Jaime</w:t>
            </w:r>
          </w:p>
        </w:tc>
        <w:tc>
          <w:tcPr>
            <w:tcW w:type="dxa" w:w="2484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Required for MS Founders Hub sign-in</w:t>
            </w:r>
          </w:p>
        </w:tc>
      </w:tr>
      <w:tr>
        <w:tc>
          <w:tcPr>
            <w:tcW w:type="dxa" w:w="2484"/>
            <w:shd w:val="clear" w:color="auto" w:fill="FFFFFF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2–3</w:t>
            </w:r>
          </w:p>
        </w:tc>
        <w:tc>
          <w:tcPr>
            <w:tcW w:type="dxa" w:w="2484"/>
            <w:shd w:val="clear" w:color="auto" w:fill="FFFFFF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kvannhealth.com redirect live; both domains resolve to v0.1 page</w:t>
            </w:r>
          </w:p>
        </w:tc>
        <w:tc>
          <w:tcPr>
            <w:tcW w:type="dxa" w:w="2484"/>
            <w:shd w:val="clear" w:color="auto" w:fill="FFFFFF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Alexey</w:t>
            </w:r>
          </w:p>
        </w:tc>
        <w:tc>
          <w:tcPr>
            <w:tcW w:type="dxa" w:w="2484"/>
            <w:shd w:val="clear" w:color="auto" w:fill="FFFFFF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</w:r>
          </w:p>
        </w:tc>
      </w:tr>
    </w:tbl>
    <w:p>
      <w:pPr>
        <w:spacing w:before="0" w:after="120"/>
      </w:pPr>
    </w:p>
    <w:p>
      <w:pPr>
        <w:spacing w:before="280" w:after="80"/>
      </w:pPr>
      <w:r>
        <w:rPr>
          <w:rFonts w:ascii="Calibri" w:hAnsi="Calibri"/>
          <w:b/>
          <w:color w:val="0D9488"/>
          <w:sz w:val="30"/>
        </w:rPr>
        <w:t>5. Track E — Second Prospect (Oct 20, in-person)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  <w:shd w:val="clear" w:color="auto" w:fill="0F172A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b/>
                <w:color w:val="FFFFFF"/>
                <w:sz w:val="20"/>
              </w:rPr>
              <w:t>Wk</w:t>
            </w:r>
          </w:p>
        </w:tc>
        <w:tc>
          <w:tcPr>
            <w:tcW w:type="dxa" w:w="4968"/>
            <w:shd w:val="clear" w:color="auto" w:fill="0F172A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b/>
                <w:color w:val="FFFFFF"/>
                <w:sz w:val="20"/>
              </w:rPr>
              <w:t>Action</w:t>
            </w:r>
          </w:p>
        </w:tc>
      </w:tr>
      <w:tr>
        <w:tc>
          <w:tcPr>
            <w:tcW w:type="dxa" w:w="4968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4–5</w:t>
            </w:r>
          </w:p>
        </w:tc>
        <w:tc>
          <w:tcPr>
            <w:tcW w:type="dxa" w:w="4968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Reuse CCC proposal template → variant for this org (genericize CCC specifics)</w:t>
            </w:r>
          </w:p>
        </w:tc>
      </w:tr>
      <w:tr>
        <w:tc>
          <w:tcPr>
            <w:tcW w:type="dxa" w:w="4968"/>
            <w:shd w:val="clear" w:color="auto" w:fill="FFFFFF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5–6</w:t>
            </w:r>
          </w:p>
        </w:tc>
        <w:tc>
          <w:tcPr>
            <w:tcW w:type="dxa" w:w="4968"/>
            <w:shd w:val="clear" w:color="auto" w:fill="FFFFFF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Demo package: mock-client-driven live demo + Monte Carlo ROI walkthrough (proto `calc.kvannhealth.com`)</w:t>
            </w:r>
          </w:p>
        </w:tc>
      </w:tr>
      <w:tr>
        <w:tc>
          <w:tcPr>
            <w:tcW w:type="dxa" w:w="4968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6</w:t>
            </w:r>
          </w:p>
        </w:tc>
        <w:tc>
          <w:tcPr>
            <w:tcW w:type="dxa" w:w="4968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Rehearsal with Joe + Jaime; leave-behind one-pager refresh (July OneXQ one-pager → Kvann Flow rebrand)</w:t>
            </w:r>
          </w:p>
        </w:tc>
      </w:tr>
    </w:tbl>
    <w:p>
      <w:pPr>
        <w:spacing w:before="0" w:after="120"/>
      </w:pPr>
    </w:p>
    <w:p>
      <w:pPr>
        <w:spacing w:before="280" w:after="80"/>
      </w:pPr>
      <w:r>
        <w:rPr>
          <w:rFonts w:ascii="Calibri" w:hAnsi="Calibri"/>
          <w:b/>
          <w:color w:val="0D9488"/>
          <w:sz w:val="30"/>
        </w:rPr>
        <w:t>6. Disposition of Existing Roadmap Documents — Decision &amp; Justification</w:t>
      </w:r>
    </w:p>
    <w:p>
      <w:pPr>
        <w:spacing w:before="60" w:after="80"/>
      </w:pPr>
      <w:r>
        <w:t>**Decision: KEEP the July WAVE documents unchanged as a dated snapshot; SUPERSEDE them</w:t>
      </w:r>
    </w:p>
    <w:p>
      <w:pPr>
        <w:spacing w:before="60" w:after="80"/>
      </w:pPr>
      <w:r>
        <w:t>operationally with this document (header reference added). Do NOT merge, do NOT rewrite, do</w:t>
      </w:r>
    </w:p>
    <w:p>
      <w:pPr>
        <w:spacing w:before="60" w:after="80"/>
      </w:pPr>
      <w:r>
        <w:t>NOT archive.**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312"/>
            <w:shd w:val="clear" w:color="auto" w:fill="0F172A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b/>
                <w:color w:val="FFFFFF"/>
                <w:sz w:val="20"/>
              </w:rPr>
              <w:t>Document</w:t>
            </w:r>
          </w:p>
        </w:tc>
        <w:tc>
          <w:tcPr>
            <w:tcW w:type="dxa" w:w="3312"/>
            <w:shd w:val="clear" w:color="auto" w:fill="0F172A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b/>
                <w:color w:val="FFFFFF"/>
                <w:sz w:val="20"/>
              </w:rPr>
              <w:t>Disposition</w:t>
            </w:r>
          </w:p>
        </w:tc>
        <w:tc>
          <w:tcPr>
            <w:tcW w:type="dxa" w:w="3312"/>
            <w:shd w:val="clear" w:color="auto" w:fill="0F172A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b/>
                <w:color w:val="FFFFFF"/>
                <w:sz w:val="20"/>
              </w:rPr>
              <w:t>Justification</w:t>
            </w:r>
          </w:p>
        </w:tc>
      </w:tr>
      <w:tr>
        <w:tc>
          <w:tcPr>
            <w:tcW w:type="dxa" w:w="3312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`00.04/2026-07-27_WAVE2_ROADMAP_DRAFT.md` (OneXQ→CCC pilot roadmap, 550 lines)</w:t>
            </w:r>
          </w:p>
        </w:tc>
        <w:tc>
          <w:tcPr>
            <w:tcW w:type="dxa" w:w="3312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**Keep as-is; supersede header only**</w:t>
            </w:r>
          </w:p>
        </w:tc>
        <w:tc>
          <w:tcPr>
            <w:tcW w:type="dxa" w:w="3312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Its substance (phases, gates, budget $212k expected, OCHIN risks, Sprint 4 deferral logic) remains ~85% valid and is cited by this roadmap. But it's OneXQ-branded, contains a July NO-GO verdict whose P0 items are partially resolved, and merging would rewrite an auditable point-in-time record. Surgical edits would falsify history; a rewrite would duplicate 550 lines. Cleanest: new tactical doc references it; add one "SUPERSEDED — see 2026-09-14 tactical roadmap" banner line at top.</w:t>
            </w:r>
          </w:p>
        </w:tc>
      </w:tr>
      <w:tr>
        <w:tc>
          <w:tcPr>
            <w:tcW w:type="dxa" w:w="3312"/>
            <w:shd w:val="clear" w:color="auto" w:fill="FFFFFF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`00.04/2026-07-27_WAVE1_AGENT_C_BUDGET_MODEL.md`</w:t>
            </w:r>
          </w:p>
        </w:tc>
        <w:tc>
          <w:tcPr>
            <w:tcW w:type="dxa" w:w="3312"/>
            <w:shd w:val="clear" w:color="auto" w:fill="FFFFFF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**Keep as-is**</w:t>
            </w:r>
          </w:p>
        </w:tc>
        <w:tc>
          <w:tcPr>
            <w:tcW w:type="dxa" w:w="3312"/>
            <w:shd w:val="clear" w:color="auto" w:fill="FFFFFF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Referenced by WAVE2; budget scenarios still the best model we have. Revisit only if Sprint 4 is triggered or hires change.</w:t>
            </w:r>
          </w:p>
        </w:tc>
      </w:tr>
      <w:tr>
        <w:tc>
          <w:tcPr>
            <w:tcW w:type="dxa" w:w="3312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`00.04/cost_estimation.md`, `timeline_for_pilot_from_Day0.md`</w:t>
            </w:r>
          </w:p>
        </w:tc>
        <w:tc>
          <w:tcPr>
            <w:tcW w:type="dxa" w:w="3312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**Keep as-is**</w:t>
            </w:r>
          </w:p>
        </w:tc>
        <w:tc>
          <w:tcPr>
            <w:tcW w:type="dxa" w:w="3312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Supporting artifacts of the same wave; consistent with WAVE2.</w:t>
            </w:r>
          </w:p>
        </w:tc>
      </w:tr>
      <w:tr>
        <w:tc>
          <w:tcPr>
            <w:tcW w:type="dxa" w:w="3312"/>
            <w:shd w:val="clear" w:color="auto" w:fill="FFFFFF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`20.04/…AGENT_A_TECHNICAL_GAPS.md`, `20.02/…AGENT_B_EPIC_INTEGRATION_PATH.md`</w:t>
            </w:r>
          </w:p>
        </w:tc>
        <w:tc>
          <w:tcPr>
            <w:tcW w:type="dxa" w:w="3312"/>
            <w:shd w:val="clear" w:color="auto" w:fill="FFFFFF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**Keep; verify item-by-item in Track B**</w:t>
            </w:r>
          </w:p>
        </w:tc>
        <w:tc>
          <w:tcPr>
            <w:tcW w:type="dxa" w:w="3312"/>
            <w:shd w:val="clear" w:color="auto" w:fill="FFFFFF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These are checklists, not roadmaps; Track B §2 consumes them directly.</w:t>
            </w:r>
          </w:p>
        </w:tc>
      </w:tr>
      <w:tr>
        <w:tc>
          <w:tcPr>
            <w:tcW w:type="dxa" w:w="3312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Sprint plans in `40_SPRINTS/`</w:t>
            </w:r>
          </w:p>
        </w:tc>
        <w:tc>
          <w:tcPr>
            <w:tcW w:type="dxa" w:w="3312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**Keep (historical)**</w:t>
            </w:r>
          </w:p>
        </w:tc>
        <w:tc>
          <w:tcPr>
            <w:tcW w:type="dxa" w:w="3312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Completed-sprint records; not roadmap material.</w:t>
            </w:r>
          </w:p>
        </w:tc>
      </w:tr>
    </w:tbl>
    <w:p>
      <w:pPr>
        <w:spacing w:before="0" w:after="120"/>
      </w:pPr>
    </w:p>
    <w:p>
      <w:pPr>
        <w:spacing w:before="60" w:after="80"/>
      </w:pPr>
      <w:r/>
      <w:r>
        <w:rPr>
          <w:b/>
        </w:rPr>
        <w:t>Why not one merged mega-roadmap:</w:t>
      </w:r>
      <w:r>
        <w:t xml:space="preserve"> the two roadmaps have different audiences and decay rates.</w:t>
      </w:r>
    </w:p>
    <w:p>
      <w:pPr>
        <w:spacing w:before="60" w:after="80"/>
      </w:pPr>
      <w:r>
        <w:t>The strategic roadmap (`kvann_workspace/KVANN_HEALTH_LONGTERM_ROADMAP.md`) is board/investor-facing,</w:t>
      </w:r>
    </w:p>
    <w:p>
      <w:pPr>
        <w:spacing w:before="60" w:after="80"/>
      </w:pPr>
      <w:r>
        <w:t>changes quarterly. This tactical doc is operator-facing, changes weekly. Merging couples a stable</w:t>
      </w:r>
    </w:p>
    <w:p>
      <w:pPr>
        <w:spacing w:before="60" w:after="80"/>
      </w:pPr>
      <w:r>
        <w:t>document to a volatile one and guarantees the stable one rots.</w:t>
      </w:r>
    </w:p>
    <w:p>
      <w:pPr>
        <w:spacing w:before="280" w:after="80"/>
      </w:pPr>
      <w:r>
        <w:rPr>
          <w:rFonts w:ascii="Calibri" w:hAnsi="Calibri"/>
          <w:b/>
          <w:color w:val="0D9488"/>
          <w:sz w:val="30"/>
        </w:rPr>
        <w:t>7. This Week at a Glance</w:t>
      </w:r>
    </w:p>
    <w:p>
      <w:pPr>
        <w:spacing w:before="60" w:after="80"/>
      </w:pPr>
      <w:r>
        <w:t>```</w:t>
      </w:r>
    </w:p>
    <w:p>
      <w:pPr>
        <w:spacing w:before="60" w:after="80"/>
      </w:pPr>
      <w:r>
        <w:t>Mon 9/14   PRE-CALL (5h): Alexey builds landing page v0.1 + call decision brief (§7 below)</w:t>
      </w:r>
    </w:p>
    <w:p>
      <w:pPr>
        <w:spacing w:before="60" w:after="80"/>
      </w:pPr>
      <w:r>
        <w:t>Mon 9/14   Zoom call: 4 decisions (pricing posture / OCHIN question to CCC / proposal sign-off / domain registration go)</w:t>
      </w:r>
    </w:p>
    <w:p>
      <w:pPr>
        <w:spacing w:before="60" w:after="80"/>
      </w:pPr>
      <w:r>
        <w:t>Tue–Thu    Draft CCC proposal (Track A) + verify Gate-1 P0 items (Track B)</w:t>
      </w:r>
    </w:p>
    <w:p>
      <w:pPr>
        <w:spacing w:before="60" w:after="80"/>
      </w:pPr>
      <w:r>
        <w:t>Fri        Proposal to Joe/Jaime for review; landing page go-live once domains registered</w:t>
      </w:r>
    </w:p>
    <w:p>
      <w:pPr>
        <w:spacing w:before="60" w:after="80"/>
      </w:pPr>
      <w:r>
        <w:t>Next wk    Proposal out → OVF application → email routing + LinkedIn → Cedars-Sinai/Mayo + MS Founders Hub once site live</w:t>
      </w:r>
    </w:p>
    <w:p>
      <w:pPr>
        <w:spacing w:before="60" w:after="80"/>
      </w:pPr>
      <w:r>
        <w:t>```</w:t>
      </w:r>
    </w:p>
    <w:p>
      <w:pPr>
        <w:spacing w:before="280" w:after="80"/>
      </w:pPr>
      <w:r>
        <w:rPr>
          <w:rFonts w:ascii="Calibri" w:hAnsi="Calibri"/>
          <w:b/>
          <w:color w:val="0D9488"/>
          <w:sz w:val="30"/>
        </w:rPr>
        <w:t>8. Strategic Decisions Log (Consensus Reached 2026-09-14)</w:t>
      </w:r>
    </w:p>
    <w:p>
      <w:pPr>
        <w:spacing w:before="60" w:after="80"/>
      </w:pPr>
      <w:r>
        <w:t xml:space="preserve">1. </w:t>
      </w:r>
      <w:r>
        <w:rPr>
          <w:b/>
        </w:rPr>
        <w:t>Pilot Pricing Structure:</w:t>
      </w:r>
      <w:r>
        <w:t xml:space="preserve"> Decided on a </w:t>
      </w:r>
      <w:r>
        <w:rPr>
          <w:b/>
        </w:rPr>
        <w:t>Fixed-Fee Pilot Package ($3,500 – $5,000 for 90 days, 2–3 MDs)</w:t>
      </w:r>
      <w:r>
        <w:t xml:space="preserve"> with a </w:t>
      </w:r>
      <w:r>
        <w:rPr>
          <w:b/>
        </w:rPr>
        <w:t>100% credit</w:t>
      </w:r>
      <w:r>
        <w:t xml:space="preserve"> toward the Year 1 annual subscription ($149/MD/month) upon full rollout, backed by a </w:t>
      </w:r>
      <w:r>
        <w:rPr>
          <w:b/>
        </w:rPr>
        <w:t>30-day satisfaction clause</w:t>
      </w:r>
      <w:r>
        <w:t xml:space="preserve"> (refund triggered if density gain is &lt;5% vs. pre-pilot 30-day baseline). No blank placeholders.</w:t>
      </w:r>
    </w:p>
    <w:p>
      <w:pPr>
        <w:spacing w:before="60" w:after="80"/>
      </w:pPr>
      <w:r>
        <w:t xml:space="preserve">2. </w:t>
      </w:r>
      <w:r>
        <w:rPr>
          <w:b/>
        </w:rPr>
        <w:t>Hiring Gating:</w:t>
      </w:r>
      <w:r>
        <w:t xml:space="preserve"> Decided </w:t>
      </w:r>
      <w:r>
        <w:rPr>
          <w:b/>
        </w:rPr>
        <w:t>against pre-funding speculative hiring</w:t>
      </w:r>
      <w:r>
        <w:t>. Alexey leads engineering via OpenClaw/KIMI. First hire (part-time QA/EHR contractor, 10–15 hrs/wk) is gated strictly on either a signed CCC MoU/BAA with sandbox access or closed accelerator SAFE capital ($100k+).</w:t>
      </w:r>
    </w:p>
    <w:p>
      <w:pPr>
        <w:spacing w:before="60" w:after="80"/>
      </w:pPr>
      <w:r>
        <w:t xml:space="preserve">3. </w:t>
      </w:r>
      <w:r>
        <w:rPr>
          <w:b/>
        </w:rPr>
        <w:t>Dual Domain Registration:</w:t>
      </w:r>
      <w:r>
        <w:t xml:space="preserve"> Jaime/Joe to secure </w:t>
      </w:r>
      <w:r>
        <w:rPr>
          <w:b/>
        </w:rPr>
        <w:t>both `kvanhealth.com` and `kvannhealth.com`</w:t>
      </w:r>
      <w:r>
        <w:t xml:space="preserve"> immediately to protect Oregon entity identity and commercial product branding.</w:t>
      </w:r>
    </w:p>
    <w:p>
      <w:pPr>
        <w:spacing w:before="60" w:after="80"/>
      </w:pPr>
      <w:r>
        <w:t xml:space="preserve">4. </w:t>
      </w:r>
      <w:r>
        <w:rPr>
          <w:b/>
        </w:rPr>
        <w:t>Landing Page Fast-Track (added v1.2.0):</w:t>
      </w:r>
      <w:r>
        <w:t xml:space="preserve"> Landing page v0.1 is promoted from a Week 2–3 item to a </w:t>
      </w:r>
      <w:r>
        <w:rPr>
          <w:b/>
        </w:rPr>
        <w:t>today (pre-call) founder sprint</w:t>
      </w:r>
      <w:r>
        <w:t xml:space="preserve"> by Alexey, because it is the hard gate for Cedars-Sinai, Mayo, and Microsoft for Startups (up to $150k non-dilutive Azure credits). Execution mechanics follow the hardened 2026-08-22 Formation &amp; Grant Enablement Spec (Cloudflare RBAC, GitHub Pages, SPF/DMARC/DNSSEC); go-live is blocked only on domain registration, which is decision #4 on today's call.</w:t>
      </w:r>
    </w:p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93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