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20" w:after="120"/>
      </w:pPr>
      <w:r>
        <w:rPr>
          <w:rFonts w:ascii="Calibri" w:hAnsi="Calibri"/>
          <w:b/>
          <w:color w:val="0F172A"/>
          <w:sz w:val="44"/>
        </w:rPr>
        <w:t>KVANN HEALTH — Long-Term Strategic Roadmap</w:t>
      </w:r>
    </w:p>
    <w:p>
      <w:pPr>
        <w:spacing w:before="60" w:after="80"/>
      </w:pPr>
      <w:r/>
      <w:r>
        <w:rPr>
          <w:b/>
        </w:rPr>
        <w:t>Version:</w:t>
      </w:r>
      <w:r>
        <w:t xml:space="preserve"> 1.1.0 · </w:t>
      </w:r>
      <w:r>
        <w:rPr>
          <w:b/>
        </w:rPr>
        <w:t>Date:</w:t>
      </w:r>
      <w:r>
        <w:t xml:space="preserve"> 2026-09-14 · </w:t>
      </w:r>
      <w:r>
        <w:rPr>
          <w:b/>
        </w:rPr>
        <w:t>Owner:</w:t>
      </w:r>
      <w:r>
        <w:t xml:space="preserve"> Alexey (Technical Lead), with Joe (Medical) &amp; Jaime (Sales)</w:t>
      </w:r>
    </w:p>
    <w:p>
      <w:pPr>
        <w:spacing w:before="60" w:after="80"/>
      </w:pPr>
      <w:r/>
      <w:r>
        <w:rPr>
          <w:b/>
        </w:rPr>
        <w:t>Source:</w:t>
      </w:r>
      <w:r>
        <w:t xml:space="preserve"> KVANN_HEALTH_STRATEGIC_VISION_MCKINSEY.md (Sept 2026) · </w:t>
      </w:r>
      <w:r>
        <w:rPr>
          <w:b/>
        </w:rPr>
        <w:t>Horizon:</w:t>
      </w:r>
      <w:r>
        <w:t xml:space="preserve"> 36 months</w:t>
      </w:r>
    </w:p>
    <w:p>
      <w:pPr>
        <w:spacing w:before="60" w:after="80"/>
      </w:pPr>
      <w:r/>
      <w:r>
        <w:rPr>
          <w:b/>
        </w:rPr>
        <w:t>Corporate Entity:</w:t>
      </w:r>
      <w:r>
        <w:t xml:space="preserve"> KVAN Health LLC (Oregon) · </w:t>
      </w:r>
      <w:r>
        <w:rPr>
          <w:b/>
        </w:rPr>
        <w:t>Commercial Brand:</w:t>
      </w:r>
      <w:r>
        <w:t xml:space="preserve"> Kvann Health / Kvann Flow</w:t>
      </w:r>
    </w:p>
    <w:p>
      <w:pPr>
        <w:spacing w:before="60" w:after="80"/>
      </w:pPr>
      <w:r/>
      <w:r>
        <w:rPr>
          <w:b/>
        </w:rPr>
        <w:t>Primary Domains:</w:t>
      </w:r>
      <w:r>
        <w:t xml:space="preserve"> `kvanhealth.com` and `kvannhealth.com` (cross-redirect)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North Star</w:t>
      </w:r>
    </w:p>
    <w:p>
      <w:pPr>
        <w:spacing w:before="80" w:after="80"/>
        <w:ind w:left="576"/>
      </w:pPr>
      <w:r>
        <w:rPr>
          <w:i/>
          <w:color w:val="64748B"/>
        </w:rPr>
        <w:t>Build the first closed-loop **Autonomous Ambulatory Operating System** for US primary care:</w:t>
      </w:r>
    </w:p>
    <w:p>
      <w:pPr>
        <w:spacing w:before="80" w:after="80"/>
        <w:ind w:left="576"/>
      </w:pPr>
      <w:r>
        <w:rPr>
          <w:i/>
          <w:color w:val="64748B"/>
        </w:rPr>
        <w:t>**Access (Intake) → Yield (Scheduling) → Audit (Chart QA)** — sold modularly, priced</w:t>
      </w:r>
    </w:p>
    <w:p>
      <w:pPr>
        <w:spacing w:before="80" w:after="80"/>
        <w:ind w:left="576"/>
      </w:pPr>
      <w:r>
        <w:rPr>
          <w:i/>
          <w:color w:val="64748B"/>
        </w:rPr>
        <w:t>disruptively ($149/MD/mo entry for Pillar 2, scaling to ~$499/MD/mo for the full suite),</w:t>
      </w:r>
    </w:p>
    <w:p>
      <w:pPr>
        <w:spacing w:before="80" w:after="80"/>
        <w:ind w:left="576"/>
      </w:pPr>
      <w:r>
        <w:rPr>
          <w:i/>
          <w:color w:val="64748B"/>
        </w:rPr>
        <w:t>with the "Iron Rule" (write-back restricted to Appointments</w:t>
      </w:r>
    </w:p>
    <w:p>
      <w:pPr>
        <w:spacing w:before="80" w:after="80"/>
        <w:ind w:left="576"/>
      </w:pPr>
      <w:r>
        <w:rPr>
          <w:i/>
          <w:color w:val="64748B"/>
        </w:rPr>
        <w:t>only) as the enterprise trust anchor.</w:t>
      </w:r>
    </w:p>
    <w:p>
      <w:pPr>
        <w:spacing w:before="60" w:after="80"/>
      </w:pPr>
      <w:r/>
      <w:r>
        <w:rPr>
          <w:b/>
        </w:rPr>
        <w:t>36-month target:</w:t>
      </w:r>
      <w:r>
        <w:t xml:space="preserve"> ~3,000 practices, ~$54M ARR, NRR &gt; 130%, churn &lt; 2%.</w:t>
      </w:r>
    </w:p>
    <w:p>
      <w:pPr>
        <w:spacing w:before="80" w:after="80"/>
        <w:ind w:left="576"/>
      </w:pPr>
      <w:r>
        <w:rPr>
          <w:i/>
          <w:color w:val="64748B"/>
        </w:rPr>
        <w:t>*All financial figures (ARR, ROI, pricing) in this document are modeled projections from the</w:t>
      </w:r>
    </w:p>
    <w:p>
      <w:pPr>
        <w:spacing w:before="80" w:after="80"/>
        <w:ind w:left="576"/>
      </w:pPr>
      <w:r>
        <w:rPr>
          <w:i/>
          <w:color w:val="64748B"/>
        </w:rPr>
        <w:t>Strategic Vision source document, presented for planning purposes — not guarantees of</w:t>
      </w:r>
    </w:p>
    <w:p>
      <w:pPr>
        <w:spacing w:before="80" w:after="80"/>
        <w:ind w:left="576"/>
      </w:pPr>
      <w:r>
        <w:rPr>
          <w:i/>
          <w:color w:val="64748B"/>
        </w:rPr>
        <w:t>performance. They must be re-validated against pilot results before external or investor use.*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Phase Architecture (3 Horizons)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HORIZON 1 — LAND: "Trojan Horse Scheduler" (Months 1–6)</w:t>
      </w:r>
    </w:p>
    <w:p>
      <w:pPr>
        <w:spacing w:before="60" w:after="80"/>
      </w:pPr>
      <w:r/>
      <w:r>
        <w:rPr>
          <w:b/>
        </w:rPr>
        <w:t>Product:</w:t>
      </w:r>
      <w:r>
        <w:t xml:space="preserve"> Kvann Flow (Pillar 2 — Capacity &amp; Schedule Optimizer) ONLY.</w:t>
      </w:r>
    </w:p>
    <w:p>
      <w:pPr>
        <w:spacing w:before="60" w:after="80"/>
      </w:pPr>
      <w:r/>
      <w:r>
        <w:rPr>
          <w:b/>
        </w:rPr>
        <w:t>Why first:</w:t>
      </w:r>
      <w:r>
        <w:t xml:space="preserve"> zero clinical workflow disruption; fastest security clearance; provable ROI</w:t>
      </w:r>
    </w:p>
    <w:p>
      <w:pPr>
        <w:spacing w:before="60" w:after="80"/>
      </w:pPr>
      <w:r>
        <w:t>($178k/yr per 5-MD clinic from Gravity Stacking alone).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Workstream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Milestones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Exit Criteria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Product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Epic sandbox integration hardened (fix JKU/JWKS + scope findings); mock client; production infra (FastAPI/Gunicorn/Docker)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Passes a "skeptical CIO" technical diligence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Pilot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CCC pilot (Pareto scope: Gravity Stacking + Lunch Firewall for 2–3 volunteer providers, staff-facing only)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≥8% schedule density improvement, zero safety incidents, 90-day referenceable case study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GTM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Athenahealth Marketplace (MDP) + Epic Connection Hub registration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Listed / in review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Corporate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LLC finalized (KVAN Health LLC), domains (`kvanhealth.com` + `kvannhealth.com`) + email live, basic website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Domains operational, email active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Funding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Accelerator applications (Tier 1: OVF; Tier 2: Cedars-Sinai, Mayo)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≥1 acceptance or term sheet</w:t>
            </w:r>
          </w:p>
        </w:tc>
      </w:tr>
    </w:tbl>
    <w:p>
      <w:pPr>
        <w:spacing w:before="0" w:after="120"/>
      </w:pPr>
    </w:p>
    <w:p>
      <w:pPr>
        <w:spacing w:before="60" w:after="80"/>
      </w:pPr>
      <w:r/>
      <w:r>
        <w:rPr>
          <w:b/>
        </w:rPr>
        <w:t>Pricing:</w:t>
      </w:r>
      <w:r>
        <w:t xml:space="preserve"> $149/MD/mo entry. </w:t>
      </w:r>
      <w:r>
        <w:rPr>
          <w:b/>
        </w:rPr>
        <w:t>Target:</w:t>
      </w:r>
      <w:r>
        <w:t xml:space="preserve"> 3 signed pilot clinics + 50 qualified practice pipeline by Month 6 exit; $2.2M ARR run-rate across ~250 practices by Month 12 (Year 1 Exit).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HORIZON 2 — EXPAND: Patient Intake Gateway (Months 7–18)</w:t>
      </w:r>
    </w:p>
    <w:p>
      <w:pPr>
        <w:spacing w:before="60" w:after="80"/>
      </w:pPr>
      <w:r/>
      <w:r>
        <w:rPr>
          <w:b/>
        </w:rPr>
        <w:t>Product:</w:t>
      </w:r>
      <w:r>
        <w:t xml:space="preserve"> add Pillar 1 (conversational AI intake, safety-veto, lab PDF extraction, 8-line pre-visit snapshot), built on the ClinPolisBot foundation.</w:t>
      </w:r>
    </w:p>
    <w:p>
      <w:pPr>
        <w:spacing w:before="60" w:after="80"/>
      </w:pPr>
      <w:r/>
      <w:r>
        <w:rPr>
          <w:b/>
        </w:rPr>
        <w:t>GTM motion:</w:t>
      </w:r>
      <w:r>
        <w:t xml:space="preserve"> upsell installed base — "your schedule is dense; now eliminate 60% of front-desk phone calls." +$100/MD/mo.</w:t>
      </w:r>
    </w:p>
    <w:p>
      <w:pPr>
        <w:spacing w:before="60" w:after="80"/>
      </w:pPr>
      <w:r/>
      <w:r>
        <w:rPr>
          <w:b/>
        </w:rPr>
        <w:t>Data moat:</w:t>
      </w:r>
      <w:r>
        <w:t xml:space="preserve"> Mayo Clinic Platform data lake (if accepted) trains the AI Urgency/Triage Engine.</w:t>
      </w:r>
    </w:p>
    <w:p>
      <w:pPr>
        <w:spacing w:before="60" w:after="80"/>
      </w:pPr>
      <w:r/>
      <w:r>
        <w:rPr>
          <w:b/>
        </w:rPr>
        <w:t>Target:</w:t>
      </w:r>
      <w:r>
        <w:t xml:space="preserve"> 1,000 practices, $15M ARR.</w:t>
      </w:r>
    </w:p>
    <w:p>
      <w:pPr>
        <w:spacing w:before="200" w:after="60"/>
      </w:pPr>
      <w:r>
        <w:rPr>
          <w:rFonts w:ascii="Calibri" w:hAnsi="Calibri"/>
          <w:b/>
          <w:color w:val="0F172A"/>
          <w:sz w:val="24"/>
        </w:rPr>
        <w:t>HORIZON 3 — LOCK-IN: Chart QA &amp; RCM Guard (Months 19–36)</w:t>
      </w:r>
    </w:p>
    <w:p>
      <w:pPr>
        <w:spacing w:before="60" w:after="80"/>
      </w:pPr>
      <w:r/>
      <w:r>
        <w:rPr>
          <w:b/>
        </w:rPr>
        <w:t>Product:</w:t>
      </w:r>
      <w:r>
        <w:t xml:space="preserve"> add Pillar 3 (real-time E/M audit, 99213→99214 capture, HCC risk adjustment, denial interception), built on the artidoc-checker DAG architecture.</w:t>
      </w:r>
    </w:p>
    <w:p>
      <w:pPr>
        <w:spacing w:before="60" w:after="80"/>
      </w:pPr>
      <w:r/>
      <w:r>
        <w:rPr>
          <w:b/>
        </w:rPr>
        <w:t>Moat completion:</w:t>
      </w:r>
      <w:r>
        <w:t xml:space="preserve"> enterprise-grade value-based-care analytics for ACOs; churn → near zero.</w:t>
      </w:r>
    </w:p>
    <w:p>
      <w:pPr>
        <w:spacing w:before="60" w:after="80"/>
      </w:pPr>
      <w:r/>
      <w:r>
        <w:rPr>
          <w:b/>
        </w:rPr>
        <w:t>Target:</w:t>
      </w:r>
      <w:r>
        <w:t xml:space="preserve"> 3,000 practices, $54M ARR.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Cross-Horizon Enablers (continuous)</w:t>
      </w:r>
    </w:p>
    <w:p>
      <w:pPr>
        <w:spacing w:before="60" w:after="80"/>
      </w:pPr>
      <w:r>
        <w:t xml:space="preserve">1. </w:t>
      </w:r>
      <w:r>
        <w:rPr>
          <w:b/>
        </w:rPr>
        <w:t>Compliance &amp; Governance spine:</w:t>
      </w:r>
      <w:r>
        <w:t xml:space="preserve"> BAAs from day one → HIPAA gap assessment (pilot) → SOC 2 Type II (Horizon 2) → ONC FHIR R4 / USCDI v4 certification posture (Horizon 3).</w:t>
      </w:r>
    </w:p>
    <w:p>
      <w:pPr>
        <w:spacing w:before="60" w:after="80"/>
      </w:pPr>
      <w:r>
        <w:t xml:space="preserve">2. </w:t>
      </w:r>
      <w:r>
        <w:rPr>
          <w:b/>
        </w:rPr>
        <w:t>Founder IP &amp; Asset Licensing:</w:t>
      </w:r>
      <w:r>
        <w:t xml:space="preserve"> Formalize IP contribution / exclusive licensing agreements from founder to KVAN Health LLC for underlying core assets (Pillar 1 from ClinPolisBot, Pillar 2 from Kvann Flow, Pillar 3 from Synteris/artidoc-checker DAG) prior to closing accelerator SAFE or priced equity rounds.</w:t>
      </w:r>
    </w:p>
    <w:p>
      <w:pPr>
        <w:spacing w:before="60" w:after="80"/>
      </w:pPr>
      <w:r>
        <w:t xml:space="preserve">3. </w:t>
      </w:r>
      <w:r>
        <w:rPr>
          <w:b/>
        </w:rPr>
        <w:t>FinOps asymmetry:</w:t>
      </w:r>
      <w:r>
        <w:t xml:space="preserve"> hold ≤$0.01/encounter cost (multi-agent DAG routing) — protects &gt;85% gross margin at every horizon.</w:t>
      </w:r>
    </w:p>
    <w:p>
      <w:pPr>
        <w:spacing w:before="60" w:after="80"/>
      </w:pPr>
      <w:r>
        <w:t xml:space="preserve">4. </w:t>
      </w:r>
      <w:r>
        <w:rPr>
          <w:b/>
        </w:rPr>
        <w:t>Capital path:</w:t>
      </w:r>
      <w:r>
        <w:t xml:space="preserve"> Pre-seed $110–160k via Cedars-Sinai ($100k/~3%), Mayo ($200k+ in-kind + data), OVF ($250k–$1M, Providence network via Joe); non-dilutive: MedTech Innovator, MassChallenge.</w:t>
      </w:r>
    </w:p>
    <w:p>
      <w:pPr>
        <w:spacing w:before="60" w:after="80"/>
      </w:pPr>
      <w:r>
        <w:t xml:space="preserve">5. </w:t>
      </w:r>
      <w:r>
        <w:rPr>
          <w:b/>
        </w:rPr>
        <w:t>ROI proof engine:</w:t>
      </w:r>
      <w:r>
        <w:t xml:space="preserve"> productize the Monte Carlo simulator as `calc.kvannhealth.com` — CFO-facing 3-minute ROI tool (feeds every sales motion).</w:t>
      </w:r>
    </w:p>
    <w:p>
      <w:pPr>
        <w:spacing w:before="60" w:after="80"/>
      </w:pPr>
      <w:r>
        <w:t xml:space="preserve">6. </w:t>
      </w:r>
      <w:r>
        <w:rPr>
          <w:b/>
        </w:rPr>
        <w:t>Team &amp; Hiring Gating:</w:t>
      </w:r>
      <w:r>
        <w:t xml:space="preserve"> 70:30 AI:human execution model until seed. Zero pre-capital speculative hiring: first hire (part-time EHR/QA specialist, 10–15 hrs/wk) is gated strictly on either a signed pilot MoU/BAA with sandbox credentials or accelerator SAFE funding receipt.</w:t>
      </w: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Key Strategic Risks (long-term)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Horizon</w:t>
            </w:r>
          </w:p>
        </w:tc>
        <w:tc>
          <w:tcPr>
            <w:tcW w:type="dxa" w:w="3312"/>
            <w:shd w:val="clear" w:color="auto" w:fill="0F172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OCHIN/Epic gatekeeping delays pilots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H1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FHIR R4 abstraction layer → Athenahealth pivot is config, not rewrite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EHR vendors native-ify yield optimization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H2–H3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Speed + Iron-Rule trust + marketplace entrenchment</w:t>
            </w:r>
          </w:p>
        </w:tc>
      </w:tr>
      <w:tr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AI triage regulatory exposure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H2</w:t>
            </w:r>
          </w:p>
        </w:tc>
        <w:tc>
          <w:tcPr>
            <w:tcW w:type="dxa" w:w="3312"/>
            <w:shd w:val="clear" w:color="auto" w:fill="F8FAFC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Deterministic safety-veto layer; zero-millisecond red-flag override; no diagnostic claims</w:t>
            </w:r>
          </w:p>
        </w:tc>
      </w:tr>
      <w:tr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Founder bandwidth (single technical lead)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All</w:t>
            </w:r>
          </w:p>
        </w:tc>
        <w:tc>
          <w:tcPr>
            <w:tcW w:type="dxa" w:w="3312"/>
            <w:shd w:val="clear" w:color="auto" w:fill="FFFFFF"/>
            <w:tcMar>
              <w:top w:w="80" w:type="dxa"/>
              <w:bottom w:w="80" w:type="dxa"/>
              <w:left w:w="140" w:type="dxa"/>
              <w:right w:w="140" w:type="dxa"/>
            </w:tcMar>
          </w:tcPr>
          <w:p>
            <w:pPr>
              <w:spacing w:before="80" w:after="80" w:line="276" w:lineRule="auto"/>
            </w:pPr>
            <w:r>
              <w:rPr>
                <w:color w:val="1E293B"/>
                <w:sz w:val="20"/>
              </w:rPr>
              <w:t>Accelerator capital → QA/fullstack hires before H2</w:t>
            </w:r>
          </w:p>
        </w:tc>
      </w:tr>
    </w:tbl>
    <w:p>
      <w:pPr>
        <w:spacing w:before="0" w:after="120"/>
      </w:pPr>
    </w:p>
    <w:p>
      <w:pPr>
        <w:spacing w:before="280" w:after="80"/>
      </w:pPr>
      <w:r>
        <w:rPr>
          <w:rFonts w:ascii="Calibri" w:hAnsi="Calibri"/>
          <w:b/>
          <w:color w:val="0D9488"/>
          <w:sz w:val="30"/>
        </w:rPr>
        <w:t>Immediate Bridge</w:t>
      </w:r>
    </w:p>
    <w:p>
      <w:pPr>
        <w:spacing w:before="60" w:after="80"/>
      </w:pPr>
      <w:r>
        <w:t>This document sets direction; all near-term execution lives in the tactical roadmap:</w:t>
      </w:r>
    </w:p>
    <w:p>
      <w:pPr>
        <w:spacing w:before="60" w:after="80"/>
      </w:pPr>
      <w:r>
        <w:t>`_DEVELOPMENT/00_ADMIN/00.04_Roadmap_and_Budget/2026-09-14_KVANN_FLOW_TACTICAL_ROADMAP.md`.</w:t>
      </w:r>
    </w:p>
    <w:p>
      <w:pPr>
        <w:spacing w:before="60" w:after="80"/>
      </w:pPr>
      <w:r>
        <w:t>Review cadence: quarterly, or upon any Horizon exit-criteria event.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